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BF91BA">
      <w:pPr>
        <w:widowControl/>
        <w:shd w:val="clear" w:color="auto" w:fill="FFFFFF"/>
        <w:spacing w:line="578"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市数据资源管理局2023年政府信息公开</w:t>
      </w:r>
    </w:p>
    <w:p w14:paraId="32F4E0E5">
      <w:pPr>
        <w:widowControl/>
        <w:shd w:val="clear" w:color="auto" w:fill="FFFFFF"/>
        <w:spacing w:line="578" w:lineRule="exact"/>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工作年度报告</w:t>
      </w:r>
    </w:p>
    <w:p w14:paraId="5BAB73F5">
      <w:pPr>
        <w:widowControl/>
        <w:shd w:val="clear" w:color="auto" w:fill="FFFFFF"/>
        <w:spacing w:line="578" w:lineRule="exact"/>
        <w:jc w:val="center"/>
        <w:rPr>
          <w:rFonts w:ascii="方正小标宋简体" w:hAnsi="方正小标宋简体" w:eastAsia="方正小标宋简体" w:cs="方正小标宋简体"/>
          <w:kern w:val="0"/>
          <w:sz w:val="44"/>
          <w:szCs w:val="44"/>
        </w:rPr>
      </w:pPr>
    </w:p>
    <w:p w14:paraId="74C900AF">
      <w:pPr>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color w:val="000000"/>
          <w:sz w:val="32"/>
          <w:szCs w:val="32"/>
          <w:shd w:val="clear" w:color="auto" w:fill="FFFFFF"/>
        </w:rPr>
        <w:t>本报告是依据《中华人民共和国政府信息公开条例》（国务院令第711号，以下简称《条例》）、《国务院办公厅政府信息与政务公开办公室关于印发&lt;中华人民共和国政府信息公开工作年度报告格式&gt;的通知》（国办公开办函〔2021〕30号）及《安徽省政务公开办公室关于做好2023年度政府信息公开工作年度报告编制和数据报送工作的通知》（皖政务办秘〔2024〕2号）要求，结合淮南市数据资源管理局政府信息公开工作开展情况和有关统计数据编制而成。全文包括：总体情况、主动公开政府信息情况、收到和处理政府信息公开申请情况、政府信息公开行政复议行政诉讼情况、存在的主要问题及改进情况、其他需要报告的事项。本年度报告中使用数据统计期限为2023年1月1日至12月31日。本年度报告的电子版可在淮南市数据资源管理局网站（sjzyj.huainan.gov.cn）下载。如对本报告有任何疑问，请与淮南市数据资源管理局办公室联系（地址：淮南市山南新区政务中心G座319室，邮政编码：232001，联系电话：0554-6689622、5368368）。</w:t>
      </w:r>
    </w:p>
    <w:p w14:paraId="665281B2">
      <w:pPr>
        <w:widowControl/>
        <w:shd w:val="clear" w:color="auto" w:fill="FFFFFF"/>
        <w:spacing w:line="578" w:lineRule="exact"/>
        <w:ind w:firstLine="420"/>
        <w:rPr>
          <w:rFonts w:ascii="黑体" w:hAnsi="黑体" w:eastAsia="黑体" w:cs="黑体"/>
          <w:color w:val="333333"/>
          <w:kern w:val="0"/>
          <w:sz w:val="32"/>
          <w:szCs w:val="32"/>
        </w:rPr>
      </w:pPr>
      <w:r>
        <w:rPr>
          <w:rFonts w:hint="eastAsia" w:ascii="黑体" w:hAnsi="黑体" w:eastAsia="黑体" w:cs="黑体"/>
          <w:color w:val="333333"/>
          <w:kern w:val="0"/>
          <w:sz w:val="32"/>
          <w:szCs w:val="32"/>
          <w:shd w:val="clear" w:color="auto" w:fill="FFFFFF"/>
        </w:rPr>
        <w:t>一、总体情况</w:t>
      </w:r>
    </w:p>
    <w:p w14:paraId="59CC5C46">
      <w:pPr>
        <w:widowControl/>
        <w:shd w:val="clear" w:color="auto" w:fill="FFFFFF"/>
        <w:spacing w:line="59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仿宋_GBK" w:cs="Times New Roman"/>
          <w:sz w:val="32"/>
          <w:szCs w:val="32"/>
          <w:shd w:val="clear" w:color="auto" w:fill="FFFFFF"/>
        </w:rPr>
        <w:t>2023年度，市数据资源管理局深入</w:t>
      </w:r>
      <w:r>
        <w:rPr>
          <w:rFonts w:hint="default" w:ascii="Times New Roman" w:hAnsi="Times New Roman" w:eastAsia="方正仿宋_GBK" w:cs="Times New Roman"/>
          <w:color w:val="auto"/>
          <w:kern w:val="0"/>
          <w:sz w:val="32"/>
          <w:szCs w:val="32"/>
          <w:shd w:val="clear" w:color="auto" w:fill="FFFFFF"/>
          <w:lang w:bidi="ar"/>
        </w:rPr>
        <w:t>贯彻落实《淮南市人民政府办公室2022年政务公开重点工作任务分工》</w:t>
      </w:r>
      <w:r>
        <w:rPr>
          <w:rFonts w:ascii="Times New Roman" w:hAnsi="Times New Roman" w:eastAsia="方正仿宋_GBK" w:cs="Times New Roman"/>
          <w:sz w:val="32"/>
          <w:szCs w:val="32"/>
          <w:shd w:val="clear" w:color="auto" w:fill="FFFFFF"/>
        </w:rPr>
        <w:t>各项决策部署，围绕政务服务和数据资源管理职责，健全完善政府信息公开工作机制，持续推动营商环境优化、数字淮南建设等重点事项公开。</w:t>
      </w:r>
    </w:p>
    <w:p w14:paraId="7C760D0E">
      <w:pPr>
        <w:widowControl/>
        <w:shd w:val="clear" w:color="auto" w:fill="FFFFFF"/>
        <w:spacing w:line="590" w:lineRule="exact"/>
        <w:ind w:firstLine="640" w:firstLineChars="200"/>
        <w:rPr>
          <w:rFonts w:ascii="Times New Roman" w:hAnsi="Times New Roman" w:eastAsia="方正仿宋_GBK" w:cs="Times New Roman"/>
          <w:color w:val="7030A0"/>
          <w:sz w:val="32"/>
          <w:szCs w:val="32"/>
          <w:shd w:val="clear" w:color="auto" w:fill="FFFFFF"/>
        </w:rPr>
      </w:pPr>
      <w:r>
        <w:rPr>
          <w:rFonts w:ascii="Times New Roman" w:hAnsi="Times New Roman" w:eastAsia="方正楷体_GBK" w:cs="Times New Roman"/>
          <w:sz w:val="32"/>
          <w:szCs w:val="32"/>
          <w:shd w:val="clear" w:color="auto" w:fill="FFFFFF"/>
        </w:rPr>
        <w:t>（一）主动公开情况。</w:t>
      </w:r>
      <w:r>
        <w:rPr>
          <w:rFonts w:ascii="Times New Roman" w:hAnsi="Times New Roman" w:eastAsia="方正仿宋_GBK" w:cs="Times New Roman"/>
          <w:sz w:val="32"/>
          <w:szCs w:val="32"/>
          <w:shd w:val="clear" w:color="auto" w:fill="FFFFFF"/>
        </w:rPr>
        <w:t>以主动公开促政民交流，规范政务公开类别，丰富政务信息内容，确保公开信息真实，切实增强政府工作透明度，加强民主监督力度。2023年，淮南市数据资源管理局网站共</w:t>
      </w:r>
      <w:r>
        <w:rPr>
          <w:rFonts w:ascii="Times New Roman" w:hAnsi="Times New Roman" w:eastAsia="方正仿宋_GBK" w:cs="Times New Roman"/>
          <w:sz w:val="32"/>
          <w:szCs w:val="32"/>
        </w:rPr>
        <w:t>发布政务动态信息143篇，信息公开目录信息更新量171篇，较去年均有提升。发布征集调查13期，办结网站留言3条，举办2次新闻发布会，4次参加市广播电视台《政风行风热线》栏目分享工作成果，倾听群众意见。</w:t>
      </w:r>
    </w:p>
    <w:p w14:paraId="660D9CEF">
      <w:pPr>
        <w:widowControl/>
        <w:shd w:val="clear" w:color="auto" w:fill="FFFFFF"/>
        <w:spacing w:line="590" w:lineRule="exact"/>
        <w:ind w:firstLine="640" w:firstLineChars="200"/>
        <w:rPr>
          <w:rFonts w:ascii="Times New Roman" w:hAnsi="Times New Roman" w:eastAsia="方正仿宋_GBK" w:cs="Times New Roman"/>
          <w:sz w:val="32"/>
          <w:szCs w:val="32"/>
        </w:rPr>
      </w:pPr>
      <w:r>
        <w:rPr>
          <w:rFonts w:ascii="Times New Roman" w:hAnsi="Times New Roman" w:eastAsia="方正楷体_GBK" w:cs="Times New Roman"/>
          <w:sz w:val="32"/>
          <w:szCs w:val="32"/>
          <w:shd w:val="clear" w:color="auto" w:fill="FFFFFF"/>
        </w:rPr>
        <w:t>（二）依申请公开情况。</w:t>
      </w:r>
      <w:r>
        <w:rPr>
          <w:rFonts w:ascii="Times New Roman" w:hAnsi="Times New Roman" w:eastAsia="方正仿宋_GBK" w:cs="Times New Roman"/>
          <w:sz w:val="32"/>
          <w:szCs w:val="32"/>
        </w:rPr>
        <w:t>按照《安徽省政府信息公开申请办理答复规范》要求规范办理信息公开申请。2023年共受理依申请公开2件，按时办结2件，无结转情况。均为局网站政府信息公开专栏依申请公开栏目受理，已依法按时答复并予以公开，全年没有因政府信息公开工作被申请行政复议、提起行政诉讼。</w:t>
      </w:r>
    </w:p>
    <w:p w14:paraId="2362FF97">
      <w:pPr>
        <w:widowControl/>
        <w:shd w:val="clear" w:color="auto" w:fill="FFFFFF"/>
        <w:spacing w:line="590" w:lineRule="exact"/>
        <w:ind w:firstLine="640" w:firstLineChars="200"/>
        <w:rPr>
          <w:rFonts w:ascii="Times New Roman" w:hAnsi="Times New Roman" w:eastAsia="方正仿宋_GBK" w:cs="Times New Roman"/>
          <w:sz w:val="32"/>
          <w:szCs w:val="32"/>
          <w:shd w:val="clear" w:color="auto" w:fill="FFFFFF"/>
        </w:rPr>
      </w:pPr>
      <w:r>
        <w:rPr>
          <w:rFonts w:ascii="Times New Roman" w:hAnsi="Times New Roman" w:eastAsia="方正楷体_GBK" w:cs="Times New Roman"/>
          <w:sz w:val="32"/>
          <w:szCs w:val="32"/>
          <w:shd w:val="clear" w:color="auto" w:fill="FFFFFF"/>
        </w:rPr>
        <w:t>（三）政府信息管理情况。</w:t>
      </w:r>
      <w:r>
        <w:rPr>
          <w:rFonts w:ascii="Times New Roman" w:hAnsi="Times New Roman" w:eastAsia="方正仿宋_GBK" w:cs="Times New Roman"/>
          <w:sz w:val="32"/>
          <w:szCs w:val="32"/>
          <w:shd w:val="clear" w:color="auto" w:fill="FFFFFF"/>
        </w:rPr>
        <w:t>2023年制发规范性文件1件，废止0件。对规范性文件库及部门文件开展全面标准化规范化清理工作，推进规范性文件高质量依法公开。落实互联网信息发布三级审核制度，保证信息公开内容来源可靠，公开可循。</w:t>
      </w:r>
    </w:p>
    <w:p w14:paraId="6945BF10">
      <w:pPr>
        <w:widowControl/>
        <w:shd w:val="clear" w:color="auto" w:fill="FFFFFF"/>
        <w:spacing w:line="590" w:lineRule="exact"/>
        <w:ind w:firstLine="640" w:firstLineChars="200"/>
        <w:rPr>
          <w:rFonts w:ascii="Times New Roman" w:hAnsi="Times New Roman" w:eastAsia="方正仿宋_GBK" w:cs="Times New Roman"/>
          <w:color w:val="7030A0"/>
          <w:sz w:val="32"/>
          <w:szCs w:val="32"/>
          <w:shd w:val="clear" w:color="auto" w:fill="FFFFFF"/>
        </w:rPr>
      </w:pPr>
      <w:r>
        <w:rPr>
          <w:rFonts w:ascii="Times New Roman" w:hAnsi="Times New Roman" w:eastAsia="方正楷体_GBK" w:cs="Times New Roman"/>
          <w:sz w:val="32"/>
          <w:szCs w:val="32"/>
          <w:shd w:val="clear" w:color="auto" w:fill="FFFFFF"/>
        </w:rPr>
        <w:t>（四）政府信息公开平台建设情况。</w:t>
      </w:r>
      <w:r>
        <w:rPr>
          <w:rFonts w:ascii="Times New Roman" w:hAnsi="Times New Roman" w:eastAsia="方正仿宋_GBK" w:cs="Times New Roman"/>
          <w:sz w:val="32"/>
          <w:szCs w:val="32"/>
          <w:shd w:val="clear" w:color="auto" w:fill="FFFFFF"/>
        </w:rPr>
        <w:t>设立“惠企政策免申即享”重大决策解读专题栏目，集中发布“免申即享”工作成效及进展，讲清政策内涵，讲透政策实效。加大主动回应及互动交流力度，拓展互动形式，聚焦动态热点重点进行主动公开。</w:t>
      </w:r>
    </w:p>
    <w:p w14:paraId="57E9BDAA">
      <w:pPr>
        <w:widowControl/>
        <w:shd w:val="clear" w:color="auto" w:fill="FFFFFF"/>
        <w:spacing w:line="590" w:lineRule="exact"/>
        <w:ind w:firstLine="640" w:firstLineChars="200"/>
        <w:rPr>
          <w:rFonts w:ascii="Times New Roman" w:hAnsi="Times New Roman" w:eastAsia="方正楷体_GBK" w:cs="Times New Roman"/>
          <w:sz w:val="32"/>
          <w:szCs w:val="32"/>
          <w:shd w:val="clear" w:color="auto" w:fill="FFFFFF"/>
        </w:rPr>
      </w:pPr>
      <w:r>
        <w:rPr>
          <w:rFonts w:ascii="Times New Roman" w:hAnsi="Times New Roman" w:eastAsia="方正楷体_GBK" w:cs="Times New Roman"/>
          <w:sz w:val="32"/>
          <w:szCs w:val="32"/>
          <w:shd w:val="clear" w:color="auto" w:fill="FFFFFF"/>
        </w:rPr>
        <w:t>（五）监督保障情况。</w:t>
      </w:r>
      <w:r>
        <w:rPr>
          <w:rFonts w:ascii="Times New Roman" w:hAnsi="Times New Roman" w:eastAsia="方正仿宋_GBK" w:cs="Times New Roman"/>
          <w:sz w:val="32"/>
          <w:szCs w:val="32"/>
          <w:shd w:val="clear" w:color="auto" w:fill="FFFFFF"/>
        </w:rPr>
        <w:t>加强学习交流，全年共参加4次全市政务公开工作培训会；加强社会评议，加大咨询投诉件的落实处理力度，优化处理流程及满意度；加强监督考核，坚持有错必查、有误必纠，做好政务公开工作目标考核。</w:t>
      </w:r>
      <w:r>
        <w:rPr>
          <w:rFonts w:ascii="Times New Roman" w:hAnsi="Times New Roman" w:eastAsia="方正仿宋_GBK" w:cs="Times New Roman"/>
          <w:kern w:val="0"/>
          <w:sz w:val="32"/>
          <w:szCs w:val="32"/>
          <w:shd w:val="clear" w:color="auto" w:fill="FFFFFF"/>
          <w:lang w:bidi="ar"/>
        </w:rPr>
        <w:t>全年未出现政府信息公开责任追究情况。</w:t>
      </w:r>
    </w:p>
    <w:p w14:paraId="4BA1538A">
      <w:pPr>
        <w:widowControl/>
        <w:shd w:val="clear" w:color="auto" w:fill="FFFFFF"/>
        <w:spacing w:line="578" w:lineRule="exact"/>
        <w:ind w:firstLine="420"/>
        <w:rPr>
          <w:rFonts w:ascii="黑体" w:hAnsi="黑体" w:eastAsia="黑体" w:cs="黑体"/>
          <w:color w:val="333333"/>
          <w:kern w:val="0"/>
          <w:sz w:val="32"/>
          <w:szCs w:val="32"/>
        </w:rPr>
      </w:pPr>
      <w:r>
        <w:rPr>
          <w:rFonts w:hint="eastAsia" w:ascii="黑体" w:hAnsi="黑体" w:eastAsia="黑体" w:cs="黑体"/>
          <w:color w:val="333333"/>
          <w:kern w:val="0"/>
          <w:sz w:val="32"/>
          <w:szCs w:val="32"/>
          <w:shd w:val="clear" w:color="auto" w:fill="FFFFFF"/>
        </w:rPr>
        <w:t>二、主动公开政府信息情况</w:t>
      </w:r>
    </w:p>
    <w:tbl>
      <w:tblPr>
        <w:tblStyle w:val="4"/>
        <w:tblpPr w:leftFromText="180" w:rightFromText="180" w:vertAnchor="text" w:horzAnchor="page" w:tblpX="2100" w:tblpY="256"/>
        <w:tblOverlap w:val="never"/>
        <w:tblW w:w="8100" w:type="dxa"/>
        <w:tblInd w:w="0" w:type="dxa"/>
        <w:tblLayout w:type="autofit"/>
        <w:tblCellMar>
          <w:top w:w="0" w:type="dxa"/>
          <w:left w:w="0" w:type="dxa"/>
          <w:bottom w:w="0" w:type="dxa"/>
          <w:right w:w="0" w:type="dxa"/>
        </w:tblCellMar>
      </w:tblPr>
      <w:tblGrid>
        <w:gridCol w:w="2025"/>
        <w:gridCol w:w="2025"/>
        <w:gridCol w:w="2025"/>
        <w:gridCol w:w="2025"/>
      </w:tblGrid>
      <w:tr w14:paraId="32DF7BA4">
        <w:tblPrEx>
          <w:tblCellMar>
            <w:top w:w="0" w:type="dxa"/>
            <w:left w:w="0" w:type="dxa"/>
            <w:bottom w:w="0" w:type="dxa"/>
            <w:right w:w="0" w:type="dxa"/>
          </w:tblCellMar>
        </w:tblPrEx>
        <w:trPr>
          <w:trHeight w:val="377" w:hRule="atLeast"/>
        </w:trPr>
        <w:tc>
          <w:tcPr>
            <w:tcW w:w="810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14:paraId="4DD58AC7">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第二十条第（一）项</w:t>
            </w:r>
          </w:p>
        </w:tc>
      </w:tr>
      <w:tr w14:paraId="572BA464">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64E6F755">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信息内容</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14:paraId="0C6F5D88">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本年</w:t>
            </w:r>
            <w:r>
              <w:rPr>
                <w:rFonts w:hint="eastAsia" w:ascii="宋体" w:hAnsi="宋体" w:eastAsia="宋体" w:cs="宋体"/>
                <w:kern w:val="0"/>
                <w:sz w:val="20"/>
                <w:szCs w:val="20"/>
                <w:lang w:bidi="ar"/>
              </w:rPr>
              <w:t>制发件数</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14:paraId="2A3E2F63">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本年废止件数</w:t>
            </w:r>
          </w:p>
        </w:tc>
        <w:tc>
          <w:tcPr>
            <w:tcW w:w="2025" w:type="dxa"/>
            <w:tcBorders>
              <w:top w:val="single" w:color="auto" w:sz="8" w:space="0"/>
              <w:left w:val="nil"/>
              <w:bottom w:val="single" w:color="auto" w:sz="8" w:space="0"/>
              <w:right w:val="single" w:color="auto" w:sz="8" w:space="0"/>
            </w:tcBorders>
            <w:tcMar>
              <w:left w:w="57" w:type="dxa"/>
              <w:right w:w="57" w:type="dxa"/>
            </w:tcMar>
            <w:vAlign w:val="center"/>
          </w:tcPr>
          <w:p w14:paraId="1CB274A7">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现行有效件</w:t>
            </w:r>
            <w:r>
              <w:rPr>
                <w:rFonts w:hint="eastAsia" w:ascii="宋体" w:hAnsi="宋体" w:eastAsia="宋体" w:cs="宋体"/>
                <w:kern w:val="0"/>
                <w:sz w:val="20"/>
                <w:szCs w:val="20"/>
                <w:lang w:bidi="ar"/>
              </w:rPr>
              <w:t>数</w:t>
            </w:r>
          </w:p>
        </w:tc>
      </w:tr>
      <w:tr w14:paraId="7799A61E">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1B31DBAF">
            <w:pPr>
              <w:widowControl/>
              <w:jc w:val="left"/>
              <w:rPr>
                <w:rFonts w:ascii="Times New Roman" w:hAnsi="Times New Roman" w:eastAsia="宋体" w:cs="Times New Roman"/>
                <w:szCs w:val="24"/>
              </w:rPr>
            </w:pPr>
            <w:r>
              <w:rPr>
                <w:rFonts w:hint="eastAsia" w:ascii="宋体" w:hAnsi="宋体" w:eastAsia="宋体" w:cs="宋体"/>
                <w:color w:val="000000"/>
                <w:kern w:val="0"/>
                <w:sz w:val="20"/>
                <w:szCs w:val="20"/>
                <w:lang w:bidi="ar"/>
              </w:rPr>
              <w:t>规章</w:t>
            </w:r>
          </w:p>
        </w:tc>
        <w:tc>
          <w:tcPr>
            <w:tcW w:w="2025" w:type="dxa"/>
            <w:tcBorders>
              <w:top w:val="nil"/>
              <w:left w:val="nil"/>
              <w:bottom w:val="single" w:color="auto" w:sz="8" w:space="0"/>
              <w:right w:val="single" w:color="auto" w:sz="8" w:space="0"/>
            </w:tcBorders>
            <w:tcMar>
              <w:left w:w="57" w:type="dxa"/>
              <w:right w:w="57" w:type="dxa"/>
            </w:tcMar>
            <w:vAlign w:val="center"/>
          </w:tcPr>
          <w:p w14:paraId="599F1CF0">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14:paraId="0E4FAC3E">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14:paraId="5747834F">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0</w:t>
            </w:r>
          </w:p>
        </w:tc>
      </w:tr>
      <w:tr w14:paraId="322B4F74">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4A729D5A">
            <w:pPr>
              <w:widowControl/>
              <w:jc w:val="left"/>
              <w:rPr>
                <w:rFonts w:ascii="Times New Roman" w:hAnsi="Times New Roman" w:eastAsia="宋体" w:cs="Times New Roman"/>
                <w:szCs w:val="24"/>
              </w:rPr>
            </w:pPr>
            <w:r>
              <w:rPr>
                <w:rFonts w:hint="eastAsia" w:ascii="宋体" w:hAnsi="宋体" w:eastAsia="宋体" w:cs="宋体"/>
                <w:color w:val="000000"/>
                <w:kern w:val="0"/>
                <w:sz w:val="20"/>
                <w:szCs w:val="20"/>
                <w:lang w:bidi="ar"/>
              </w:rPr>
              <w:t>行政规范性文件</w:t>
            </w:r>
          </w:p>
        </w:tc>
        <w:tc>
          <w:tcPr>
            <w:tcW w:w="2025" w:type="dxa"/>
            <w:tcBorders>
              <w:top w:val="nil"/>
              <w:left w:val="nil"/>
              <w:bottom w:val="single" w:color="auto" w:sz="8" w:space="0"/>
              <w:right w:val="single" w:color="auto" w:sz="8" w:space="0"/>
            </w:tcBorders>
            <w:tcMar>
              <w:left w:w="57" w:type="dxa"/>
              <w:right w:w="57" w:type="dxa"/>
            </w:tcMar>
            <w:vAlign w:val="center"/>
          </w:tcPr>
          <w:p w14:paraId="26510664">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kern w:val="0"/>
                <w:sz w:val="20"/>
                <w:szCs w:val="20"/>
                <w:lang w:bidi="ar"/>
              </w:rPr>
              <w:t>1</w:t>
            </w:r>
          </w:p>
        </w:tc>
        <w:tc>
          <w:tcPr>
            <w:tcW w:w="2025" w:type="dxa"/>
            <w:tcBorders>
              <w:top w:val="nil"/>
              <w:left w:val="nil"/>
              <w:bottom w:val="single" w:color="auto" w:sz="8" w:space="0"/>
              <w:right w:val="single" w:color="auto" w:sz="8" w:space="0"/>
            </w:tcBorders>
            <w:tcMar>
              <w:left w:w="57" w:type="dxa"/>
              <w:right w:w="57" w:type="dxa"/>
            </w:tcMar>
            <w:vAlign w:val="center"/>
          </w:tcPr>
          <w:p w14:paraId="04B6DA84">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color w:val="000000"/>
                <w:kern w:val="0"/>
                <w:sz w:val="20"/>
                <w:szCs w:val="20"/>
                <w:lang w:bidi="ar"/>
              </w:rPr>
              <w:t>0</w:t>
            </w:r>
          </w:p>
        </w:tc>
        <w:tc>
          <w:tcPr>
            <w:tcW w:w="2025" w:type="dxa"/>
            <w:tcBorders>
              <w:top w:val="nil"/>
              <w:left w:val="nil"/>
              <w:bottom w:val="single" w:color="auto" w:sz="8" w:space="0"/>
              <w:right w:val="single" w:color="auto" w:sz="8" w:space="0"/>
            </w:tcBorders>
            <w:tcMar>
              <w:left w:w="57" w:type="dxa"/>
              <w:right w:w="57" w:type="dxa"/>
            </w:tcMar>
            <w:vAlign w:val="center"/>
          </w:tcPr>
          <w:p w14:paraId="04255C98">
            <w:pPr>
              <w:widowControl/>
              <w:jc w:val="center"/>
              <w:rPr>
                <w:rFonts w:hint="default" w:ascii="Times New Roman" w:hAnsi="Times New Roman" w:eastAsia="宋体" w:cs="Times New Roman"/>
                <w:sz w:val="20"/>
                <w:szCs w:val="20"/>
              </w:rPr>
            </w:pPr>
            <w:r>
              <w:rPr>
                <w:rFonts w:hint="default" w:ascii="Times New Roman" w:hAnsi="Times New Roman" w:eastAsia="宋体" w:cs="Times New Roman"/>
                <w:kern w:val="0"/>
                <w:sz w:val="20"/>
                <w:szCs w:val="20"/>
                <w:lang w:bidi="ar"/>
              </w:rPr>
              <w:t>7</w:t>
            </w:r>
          </w:p>
        </w:tc>
      </w:tr>
      <w:tr w14:paraId="17FBB0BF">
        <w:tblPrEx>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486A16E0">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第二十条第（五）项</w:t>
            </w:r>
          </w:p>
        </w:tc>
      </w:tr>
      <w:tr w14:paraId="24E17A56">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5F4C1BA6">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信息内容</w:t>
            </w:r>
          </w:p>
        </w:tc>
        <w:tc>
          <w:tcPr>
            <w:tcW w:w="6075" w:type="dxa"/>
            <w:gridSpan w:val="3"/>
            <w:tcBorders>
              <w:top w:val="nil"/>
              <w:left w:val="nil"/>
              <w:bottom w:val="single" w:color="auto" w:sz="8" w:space="0"/>
              <w:right w:val="single" w:color="auto" w:sz="8" w:space="0"/>
            </w:tcBorders>
            <w:tcMar>
              <w:left w:w="57" w:type="dxa"/>
              <w:right w:w="57" w:type="dxa"/>
            </w:tcMar>
            <w:vAlign w:val="center"/>
          </w:tcPr>
          <w:p w14:paraId="013022FB">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本年处理决定数量</w:t>
            </w:r>
          </w:p>
        </w:tc>
      </w:tr>
      <w:tr w14:paraId="0831ABFD">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4B6869A5">
            <w:pPr>
              <w:widowControl/>
              <w:jc w:val="left"/>
              <w:rPr>
                <w:rFonts w:ascii="Times New Roman" w:hAnsi="Times New Roman" w:eastAsia="宋体" w:cs="Times New Roman"/>
                <w:szCs w:val="24"/>
              </w:rPr>
            </w:pPr>
            <w:r>
              <w:rPr>
                <w:rFonts w:hint="eastAsia" w:ascii="宋体" w:hAnsi="宋体" w:eastAsia="宋体" w:cs="宋体"/>
                <w:color w:val="000000"/>
                <w:kern w:val="0"/>
                <w:sz w:val="20"/>
                <w:szCs w:val="20"/>
                <w:lang w:bidi="ar"/>
              </w:rPr>
              <w:t>行政许可</w:t>
            </w:r>
          </w:p>
        </w:tc>
        <w:tc>
          <w:tcPr>
            <w:tcW w:w="6075" w:type="dxa"/>
            <w:gridSpan w:val="3"/>
            <w:tcBorders>
              <w:top w:val="nil"/>
              <w:left w:val="nil"/>
              <w:bottom w:val="single" w:color="auto" w:sz="8" w:space="0"/>
              <w:right w:val="single" w:color="auto" w:sz="8" w:space="0"/>
            </w:tcBorders>
            <w:tcMar>
              <w:left w:w="57" w:type="dxa"/>
              <w:right w:w="57" w:type="dxa"/>
            </w:tcMar>
            <w:vAlign w:val="center"/>
          </w:tcPr>
          <w:p w14:paraId="7A6127E5">
            <w:pPr>
              <w:widowControl/>
              <w:jc w:val="center"/>
              <w:rPr>
                <w:rFonts w:hint="default" w:ascii="Times New Roman" w:hAnsi="Times New Roman" w:eastAsia="宋体" w:cs="Times New Roman"/>
                <w:color w:val="000000"/>
                <w:kern w:val="0"/>
                <w:sz w:val="20"/>
                <w:szCs w:val="20"/>
                <w:lang w:bidi="ar"/>
              </w:rPr>
            </w:pPr>
            <w:r>
              <w:rPr>
                <w:rFonts w:hint="default" w:ascii="Times New Roman" w:hAnsi="Times New Roman" w:eastAsia="宋体" w:cs="Times New Roman"/>
                <w:color w:val="000000"/>
                <w:kern w:val="0"/>
                <w:sz w:val="20"/>
                <w:szCs w:val="20"/>
                <w:lang w:bidi="ar"/>
              </w:rPr>
              <w:t> 0</w:t>
            </w:r>
          </w:p>
        </w:tc>
      </w:tr>
      <w:tr w14:paraId="2ED162DB">
        <w:tblPrEx>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35DF741A">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第二十条第（六）项</w:t>
            </w:r>
          </w:p>
        </w:tc>
      </w:tr>
      <w:tr w14:paraId="55C2FB8E">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015D946E">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信息内容</w:t>
            </w:r>
          </w:p>
        </w:tc>
        <w:tc>
          <w:tcPr>
            <w:tcW w:w="6075" w:type="dxa"/>
            <w:gridSpan w:val="3"/>
            <w:tcBorders>
              <w:top w:val="single" w:color="auto" w:sz="8" w:space="0"/>
              <w:left w:val="nil"/>
              <w:bottom w:val="single" w:color="auto" w:sz="8" w:space="0"/>
              <w:right w:val="single" w:color="auto" w:sz="8" w:space="0"/>
            </w:tcBorders>
            <w:tcMar>
              <w:left w:w="57" w:type="dxa"/>
              <w:right w:w="57" w:type="dxa"/>
            </w:tcMar>
            <w:vAlign w:val="center"/>
          </w:tcPr>
          <w:p w14:paraId="24D4BF23">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本年处理决定数量</w:t>
            </w:r>
          </w:p>
        </w:tc>
      </w:tr>
      <w:tr w14:paraId="0AFEFA75">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7970DEA0">
            <w:pPr>
              <w:widowControl/>
              <w:jc w:val="left"/>
              <w:rPr>
                <w:rFonts w:ascii="Times New Roman" w:hAnsi="Times New Roman" w:eastAsia="宋体" w:cs="Times New Roman"/>
                <w:szCs w:val="24"/>
              </w:rPr>
            </w:pPr>
            <w:r>
              <w:rPr>
                <w:rFonts w:hint="eastAsia" w:ascii="宋体" w:hAnsi="宋体" w:eastAsia="宋体" w:cs="宋体"/>
                <w:color w:val="000000"/>
                <w:kern w:val="0"/>
                <w:sz w:val="20"/>
                <w:szCs w:val="20"/>
                <w:lang w:bidi="ar"/>
              </w:rPr>
              <w:t>行政处罚</w:t>
            </w:r>
          </w:p>
        </w:tc>
        <w:tc>
          <w:tcPr>
            <w:tcW w:w="6075" w:type="dxa"/>
            <w:gridSpan w:val="3"/>
            <w:tcBorders>
              <w:top w:val="nil"/>
              <w:left w:val="nil"/>
              <w:bottom w:val="single" w:color="auto" w:sz="8" w:space="0"/>
              <w:right w:val="single" w:color="auto" w:sz="8" w:space="0"/>
            </w:tcBorders>
            <w:tcMar>
              <w:left w:w="57" w:type="dxa"/>
              <w:right w:w="57" w:type="dxa"/>
            </w:tcMar>
            <w:vAlign w:val="center"/>
          </w:tcPr>
          <w:p w14:paraId="2342ABC2">
            <w:pPr>
              <w:widowControl/>
              <w:jc w:val="center"/>
              <w:rPr>
                <w:rFonts w:hint="default"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r>
      <w:tr w14:paraId="7889FD3F">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64572C07">
            <w:pPr>
              <w:widowControl/>
              <w:jc w:val="left"/>
              <w:rPr>
                <w:rFonts w:ascii="Times New Roman" w:hAnsi="Times New Roman" w:eastAsia="宋体" w:cs="Times New Roman"/>
                <w:szCs w:val="24"/>
              </w:rPr>
            </w:pPr>
            <w:r>
              <w:rPr>
                <w:rFonts w:hint="eastAsia" w:ascii="宋体" w:hAnsi="宋体" w:eastAsia="宋体" w:cs="宋体"/>
                <w:color w:val="000000"/>
                <w:kern w:val="0"/>
                <w:sz w:val="20"/>
                <w:szCs w:val="20"/>
                <w:lang w:bidi="ar"/>
              </w:rPr>
              <w:t>行政强制</w:t>
            </w:r>
          </w:p>
        </w:tc>
        <w:tc>
          <w:tcPr>
            <w:tcW w:w="6075" w:type="dxa"/>
            <w:gridSpan w:val="3"/>
            <w:tcBorders>
              <w:top w:val="nil"/>
              <w:left w:val="nil"/>
              <w:bottom w:val="single" w:color="auto" w:sz="8" w:space="0"/>
              <w:right w:val="single" w:color="auto" w:sz="8" w:space="0"/>
            </w:tcBorders>
            <w:tcMar>
              <w:left w:w="57" w:type="dxa"/>
              <w:right w:w="57" w:type="dxa"/>
            </w:tcMar>
            <w:vAlign w:val="center"/>
          </w:tcPr>
          <w:p w14:paraId="6BC43283">
            <w:pPr>
              <w:widowControl/>
              <w:jc w:val="center"/>
              <w:rPr>
                <w:rFonts w:hint="default"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r>
      <w:tr w14:paraId="39D11DAE">
        <w:tblPrEx>
          <w:tblCellMar>
            <w:top w:w="0" w:type="dxa"/>
            <w:left w:w="0" w:type="dxa"/>
            <w:bottom w:w="0" w:type="dxa"/>
            <w:right w:w="0" w:type="dxa"/>
          </w:tblCellMar>
        </w:tblPrEx>
        <w:trPr>
          <w:trHeight w:val="377" w:hRule="atLeast"/>
        </w:trPr>
        <w:tc>
          <w:tcPr>
            <w:tcW w:w="810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14:paraId="7123AFA9">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第二十条第（八）项</w:t>
            </w:r>
          </w:p>
        </w:tc>
      </w:tr>
      <w:tr w14:paraId="7168DF9F">
        <w:tblPrEx>
          <w:tblCellMar>
            <w:top w:w="0" w:type="dxa"/>
            <w:left w:w="0" w:type="dxa"/>
            <w:bottom w:w="0" w:type="dxa"/>
            <w:right w:w="0" w:type="dxa"/>
          </w:tblCellMar>
        </w:tblPrEx>
        <w:trPr>
          <w:trHeight w:val="377"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29576961">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信息内容</w:t>
            </w:r>
          </w:p>
        </w:tc>
        <w:tc>
          <w:tcPr>
            <w:tcW w:w="6075" w:type="dxa"/>
            <w:gridSpan w:val="3"/>
            <w:tcBorders>
              <w:top w:val="nil"/>
              <w:left w:val="nil"/>
              <w:bottom w:val="single" w:color="auto" w:sz="8" w:space="0"/>
              <w:right w:val="single" w:color="000000" w:sz="8" w:space="0"/>
            </w:tcBorders>
            <w:tcMar>
              <w:left w:w="57" w:type="dxa"/>
              <w:right w:w="57" w:type="dxa"/>
            </w:tcMar>
            <w:vAlign w:val="center"/>
          </w:tcPr>
          <w:p w14:paraId="01DA5589">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本年收费金额（单位：万元）</w:t>
            </w:r>
          </w:p>
        </w:tc>
      </w:tr>
      <w:tr w14:paraId="34777D11">
        <w:tblPrEx>
          <w:tblCellMar>
            <w:top w:w="0" w:type="dxa"/>
            <w:left w:w="0" w:type="dxa"/>
            <w:bottom w:w="0" w:type="dxa"/>
            <w:right w:w="0" w:type="dxa"/>
          </w:tblCellMar>
        </w:tblPrEx>
        <w:trPr>
          <w:trHeight w:val="415" w:hRule="atLeast"/>
        </w:trPr>
        <w:tc>
          <w:tcPr>
            <w:tcW w:w="2025" w:type="dxa"/>
            <w:tcBorders>
              <w:top w:val="nil"/>
              <w:left w:val="single" w:color="auto" w:sz="8" w:space="0"/>
              <w:bottom w:val="single" w:color="auto" w:sz="8" w:space="0"/>
              <w:right w:val="single" w:color="auto" w:sz="8" w:space="0"/>
            </w:tcBorders>
            <w:tcMar>
              <w:left w:w="57" w:type="dxa"/>
              <w:right w:w="57" w:type="dxa"/>
            </w:tcMar>
            <w:vAlign w:val="center"/>
          </w:tcPr>
          <w:p w14:paraId="3A6B194A">
            <w:pPr>
              <w:widowControl/>
              <w:jc w:val="left"/>
              <w:rPr>
                <w:rFonts w:ascii="Times New Roman" w:hAnsi="Times New Roman" w:eastAsia="宋体" w:cs="Times New Roman"/>
                <w:szCs w:val="24"/>
              </w:rPr>
            </w:pPr>
            <w:r>
              <w:rPr>
                <w:rFonts w:hint="eastAsia" w:ascii="宋体" w:hAnsi="宋体" w:eastAsia="宋体" w:cs="宋体"/>
                <w:color w:val="000000"/>
                <w:kern w:val="0"/>
                <w:sz w:val="20"/>
                <w:szCs w:val="20"/>
                <w:lang w:bidi="ar"/>
              </w:rPr>
              <w:t>行政事业性收费</w:t>
            </w:r>
          </w:p>
        </w:tc>
        <w:tc>
          <w:tcPr>
            <w:tcW w:w="6075" w:type="dxa"/>
            <w:gridSpan w:val="3"/>
            <w:tcBorders>
              <w:top w:val="nil"/>
              <w:left w:val="nil"/>
              <w:bottom w:val="single" w:color="auto" w:sz="8" w:space="0"/>
              <w:right w:val="single" w:color="000000" w:sz="8" w:space="0"/>
            </w:tcBorders>
            <w:tcMar>
              <w:left w:w="57" w:type="dxa"/>
              <w:right w:w="57" w:type="dxa"/>
            </w:tcMar>
            <w:vAlign w:val="center"/>
          </w:tcPr>
          <w:p w14:paraId="25105E31">
            <w:pPr>
              <w:jc w:val="center"/>
              <w:rPr>
                <w:rFonts w:ascii="宋体" w:hAnsi="Times New Roman" w:eastAsia="宋体" w:cs="Times New Roman"/>
                <w:sz w:val="24"/>
                <w:szCs w:val="24"/>
              </w:rPr>
            </w:pPr>
            <w:r>
              <w:rPr>
                <w:rFonts w:hint="eastAsia" w:ascii="Times New Roman" w:hAnsi="Times New Roman" w:eastAsia="宋体" w:cs="Times New Roman"/>
                <w:color w:val="000000"/>
                <w:kern w:val="0"/>
                <w:sz w:val="20"/>
                <w:szCs w:val="20"/>
                <w:lang w:bidi="ar"/>
              </w:rPr>
              <w:t>0</w:t>
            </w:r>
          </w:p>
        </w:tc>
      </w:tr>
    </w:tbl>
    <w:p w14:paraId="14455D3A">
      <w:pPr>
        <w:widowControl/>
        <w:shd w:val="clear" w:color="auto" w:fill="FFFFFF"/>
        <w:spacing w:line="578" w:lineRule="exact"/>
        <w:ind w:firstLine="42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三、收到和处理政府信息公开申请情况</w:t>
      </w:r>
    </w:p>
    <w:tbl>
      <w:tblPr>
        <w:tblStyle w:val="4"/>
        <w:tblW w:w="837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660"/>
        <w:gridCol w:w="810"/>
        <w:gridCol w:w="2769"/>
        <w:gridCol w:w="591"/>
        <w:gridCol w:w="591"/>
        <w:gridCol w:w="591"/>
        <w:gridCol w:w="591"/>
        <w:gridCol w:w="591"/>
        <w:gridCol w:w="593"/>
        <w:gridCol w:w="592"/>
      </w:tblGrid>
      <w:tr w14:paraId="6FF200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4D39F22">
            <w:pPr>
              <w:widowControl/>
              <w:jc w:val="left"/>
              <w:rPr>
                <w:rFonts w:ascii="Times New Roman" w:hAnsi="Times New Roman" w:eastAsia="宋体" w:cs="Times New Roman"/>
                <w:szCs w:val="24"/>
              </w:rPr>
            </w:pPr>
            <w:r>
              <w:rPr>
                <w:rFonts w:ascii="楷体" w:hAnsi="楷体" w:eastAsia="楷体" w:cs="楷体"/>
                <w:kern w:val="0"/>
                <w:sz w:val="20"/>
                <w:szCs w:val="20"/>
                <w:lang w:bidi="ar"/>
              </w:rPr>
              <w:t>（本列数据的勾稽关系为：第一项加第二项之和，等于第三项加第四项之和）</w:t>
            </w:r>
          </w:p>
        </w:tc>
        <w:tc>
          <w:tcPr>
            <w:tcW w:w="4140" w:type="dxa"/>
            <w:gridSpan w:val="7"/>
            <w:tcBorders>
              <w:top w:val="single" w:color="auto" w:sz="8" w:space="0"/>
              <w:left w:val="nil"/>
              <w:bottom w:val="single" w:color="auto" w:sz="8" w:space="0"/>
              <w:right w:val="single" w:color="auto" w:sz="8" w:space="0"/>
            </w:tcBorders>
            <w:tcMar>
              <w:left w:w="57" w:type="dxa"/>
              <w:right w:w="57" w:type="dxa"/>
            </w:tcMar>
            <w:vAlign w:val="center"/>
          </w:tcPr>
          <w:p w14:paraId="08B9E126">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申请人情况</w:t>
            </w:r>
          </w:p>
        </w:tc>
      </w:tr>
      <w:tr w14:paraId="3F6688D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1FB505E9">
            <w:pPr>
              <w:rPr>
                <w:rFonts w:ascii="宋体" w:hAnsi="Times New Roman" w:eastAsia="宋体" w:cs="Times New Roman"/>
                <w:sz w:val="24"/>
                <w:szCs w:val="24"/>
              </w:rPr>
            </w:pPr>
          </w:p>
        </w:tc>
        <w:tc>
          <w:tcPr>
            <w:tcW w:w="591" w:type="dxa"/>
            <w:vMerge w:val="restart"/>
            <w:tcBorders>
              <w:top w:val="nil"/>
              <w:left w:val="nil"/>
              <w:bottom w:val="single" w:color="auto" w:sz="8" w:space="0"/>
              <w:right w:val="single" w:color="auto" w:sz="8" w:space="0"/>
            </w:tcBorders>
            <w:tcMar>
              <w:left w:w="57" w:type="dxa"/>
              <w:right w:w="57" w:type="dxa"/>
            </w:tcMar>
            <w:vAlign w:val="center"/>
          </w:tcPr>
          <w:p w14:paraId="6EE03ACF">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自然人</w:t>
            </w:r>
          </w:p>
        </w:tc>
        <w:tc>
          <w:tcPr>
            <w:tcW w:w="2957" w:type="dxa"/>
            <w:gridSpan w:val="5"/>
            <w:tcBorders>
              <w:top w:val="single" w:color="auto" w:sz="8" w:space="0"/>
              <w:left w:val="nil"/>
              <w:bottom w:val="single" w:color="auto" w:sz="8" w:space="0"/>
              <w:right w:val="single" w:color="auto" w:sz="8" w:space="0"/>
            </w:tcBorders>
            <w:tcMar>
              <w:left w:w="57" w:type="dxa"/>
              <w:right w:w="57" w:type="dxa"/>
            </w:tcMar>
            <w:vAlign w:val="center"/>
          </w:tcPr>
          <w:p w14:paraId="579A95B6">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法人或其他组织</w:t>
            </w:r>
          </w:p>
        </w:tc>
        <w:tc>
          <w:tcPr>
            <w:tcW w:w="592" w:type="dxa"/>
            <w:vMerge w:val="restart"/>
            <w:tcBorders>
              <w:top w:val="single" w:color="auto" w:sz="8" w:space="0"/>
              <w:left w:val="nil"/>
              <w:bottom w:val="outset" w:color="auto" w:sz="8" w:space="0"/>
              <w:right w:val="single" w:color="auto" w:sz="8" w:space="0"/>
            </w:tcBorders>
            <w:tcMar>
              <w:left w:w="57" w:type="dxa"/>
              <w:right w:w="57" w:type="dxa"/>
            </w:tcMar>
            <w:vAlign w:val="center"/>
          </w:tcPr>
          <w:p w14:paraId="22A59BA1">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总计</w:t>
            </w:r>
          </w:p>
        </w:tc>
      </w:tr>
      <w:tr w14:paraId="7C5FA6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4239"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14:paraId="478ECF75">
            <w:pPr>
              <w:rPr>
                <w:rFonts w:ascii="宋体" w:hAnsi="Times New Roman" w:eastAsia="宋体" w:cs="Times New Roman"/>
                <w:sz w:val="24"/>
                <w:szCs w:val="24"/>
              </w:rPr>
            </w:pPr>
          </w:p>
        </w:tc>
        <w:tc>
          <w:tcPr>
            <w:tcW w:w="591" w:type="dxa"/>
            <w:vMerge w:val="continue"/>
            <w:tcBorders>
              <w:top w:val="nil"/>
              <w:left w:val="nil"/>
              <w:bottom w:val="single" w:color="auto" w:sz="8" w:space="0"/>
              <w:right w:val="single" w:color="auto" w:sz="8" w:space="0"/>
            </w:tcBorders>
            <w:tcMar>
              <w:left w:w="57" w:type="dxa"/>
              <w:right w:w="57" w:type="dxa"/>
            </w:tcMar>
            <w:vAlign w:val="center"/>
          </w:tcPr>
          <w:p w14:paraId="7ED64D21">
            <w:pPr>
              <w:rPr>
                <w:rFonts w:ascii="宋体" w:hAnsi="Times New Roman" w:eastAsia="宋体" w:cs="Times New Roman"/>
                <w:sz w:val="24"/>
                <w:szCs w:val="24"/>
              </w:rPr>
            </w:pPr>
          </w:p>
        </w:tc>
        <w:tc>
          <w:tcPr>
            <w:tcW w:w="591" w:type="dxa"/>
            <w:tcBorders>
              <w:top w:val="nil"/>
              <w:left w:val="nil"/>
              <w:bottom w:val="single" w:color="auto" w:sz="8" w:space="0"/>
              <w:right w:val="single" w:color="auto" w:sz="8" w:space="0"/>
            </w:tcBorders>
            <w:tcMar>
              <w:left w:w="57" w:type="dxa"/>
              <w:right w:w="57" w:type="dxa"/>
            </w:tcMar>
            <w:vAlign w:val="center"/>
          </w:tcPr>
          <w:p w14:paraId="34F14BBB">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商业</w:t>
            </w:r>
          </w:p>
          <w:p w14:paraId="4F094B71">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企业</w:t>
            </w:r>
          </w:p>
        </w:tc>
        <w:tc>
          <w:tcPr>
            <w:tcW w:w="591" w:type="dxa"/>
            <w:tcBorders>
              <w:top w:val="nil"/>
              <w:left w:val="nil"/>
              <w:bottom w:val="single" w:color="auto" w:sz="8" w:space="0"/>
              <w:right w:val="single" w:color="auto" w:sz="8" w:space="0"/>
            </w:tcBorders>
            <w:tcMar>
              <w:left w:w="57" w:type="dxa"/>
              <w:right w:w="57" w:type="dxa"/>
            </w:tcMar>
            <w:vAlign w:val="center"/>
          </w:tcPr>
          <w:p w14:paraId="1756AD71">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科研</w:t>
            </w:r>
          </w:p>
          <w:p w14:paraId="4F7544B6">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机构</w:t>
            </w:r>
          </w:p>
        </w:tc>
        <w:tc>
          <w:tcPr>
            <w:tcW w:w="591" w:type="dxa"/>
            <w:tcBorders>
              <w:top w:val="single" w:color="auto" w:sz="8" w:space="0"/>
              <w:left w:val="nil"/>
              <w:bottom w:val="single" w:color="auto" w:sz="8" w:space="0"/>
              <w:right w:val="single" w:color="auto" w:sz="8" w:space="0"/>
            </w:tcBorders>
            <w:tcMar>
              <w:left w:w="57" w:type="dxa"/>
              <w:right w:w="57" w:type="dxa"/>
            </w:tcMar>
            <w:vAlign w:val="center"/>
          </w:tcPr>
          <w:p w14:paraId="4EF68101">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社会公益组织</w:t>
            </w:r>
          </w:p>
        </w:tc>
        <w:tc>
          <w:tcPr>
            <w:tcW w:w="591" w:type="dxa"/>
            <w:tcBorders>
              <w:top w:val="single" w:color="auto" w:sz="8" w:space="0"/>
              <w:left w:val="nil"/>
              <w:bottom w:val="single" w:color="auto" w:sz="8" w:space="0"/>
              <w:right w:val="single" w:color="auto" w:sz="8" w:space="0"/>
            </w:tcBorders>
            <w:tcMar>
              <w:left w:w="57" w:type="dxa"/>
              <w:right w:w="57" w:type="dxa"/>
            </w:tcMar>
            <w:vAlign w:val="center"/>
          </w:tcPr>
          <w:p w14:paraId="1F9F8268">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法律服务机构</w:t>
            </w:r>
          </w:p>
        </w:tc>
        <w:tc>
          <w:tcPr>
            <w:tcW w:w="593" w:type="dxa"/>
            <w:tcBorders>
              <w:top w:val="single" w:color="auto" w:sz="8" w:space="0"/>
              <w:left w:val="nil"/>
              <w:bottom w:val="single" w:color="auto" w:sz="8" w:space="0"/>
              <w:right w:val="single" w:color="auto" w:sz="8" w:space="0"/>
            </w:tcBorders>
            <w:tcMar>
              <w:left w:w="57" w:type="dxa"/>
              <w:right w:w="57" w:type="dxa"/>
            </w:tcMar>
            <w:vAlign w:val="center"/>
          </w:tcPr>
          <w:p w14:paraId="1190D0C3">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其他</w:t>
            </w:r>
          </w:p>
        </w:tc>
        <w:tc>
          <w:tcPr>
            <w:tcW w:w="592" w:type="dxa"/>
            <w:vMerge w:val="continue"/>
            <w:tcBorders>
              <w:top w:val="single" w:color="auto" w:sz="8" w:space="0"/>
              <w:left w:val="nil"/>
              <w:bottom w:val="outset" w:color="auto" w:sz="8" w:space="0"/>
              <w:right w:val="single" w:color="auto" w:sz="8" w:space="0"/>
            </w:tcBorders>
            <w:tcMar>
              <w:left w:w="57" w:type="dxa"/>
              <w:right w:w="57" w:type="dxa"/>
            </w:tcMar>
            <w:vAlign w:val="center"/>
          </w:tcPr>
          <w:p w14:paraId="03A028FC">
            <w:pPr>
              <w:rPr>
                <w:rFonts w:ascii="宋体" w:hAnsi="Times New Roman" w:eastAsia="宋体" w:cs="Times New Roman"/>
                <w:sz w:val="24"/>
                <w:szCs w:val="24"/>
              </w:rPr>
            </w:pPr>
          </w:p>
        </w:tc>
      </w:tr>
      <w:tr w14:paraId="515B9E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2A181074">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一、本年新收政府信息公开申请数量</w:t>
            </w:r>
          </w:p>
        </w:tc>
        <w:tc>
          <w:tcPr>
            <w:tcW w:w="591" w:type="dxa"/>
            <w:tcBorders>
              <w:top w:val="nil"/>
              <w:left w:val="nil"/>
              <w:bottom w:val="single" w:color="auto" w:sz="8" w:space="0"/>
              <w:right w:val="single" w:color="auto" w:sz="8" w:space="0"/>
            </w:tcBorders>
            <w:tcMar>
              <w:left w:w="57" w:type="dxa"/>
              <w:right w:w="57" w:type="dxa"/>
            </w:tcMar>
            <w:vAlign w:val="center"/>
          </w:tcPr>
          <w:p w14:paraId="5134A4F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2</w:t>
            </w:r>
          </w:p>
        </w:tc>
        <w:tc>
          <w:tcPr>
            <w:tcW w:w="591" w:type="dxa"/>
            <w:tcBorders>
              <w:top w:val="nil"/>
              <w:left w:val="nil"/>
              <w:bottom w:val="single" w:color="auto" w:sz="8" w:space="0"/>
              <w:right w:val="single" w:color="auto" w:sz="8" w:space="0"/>
            </w:tcBorders>
            <w:tcMar>
              <w:left w:w="57" w:type="dxa"/>
              <w:right w:w="57" w:type="dxa"/>
            </w:tcMar>
            <w:vAlign w:val="center"/>
          </w:tcPr>
          <w:p w14:paraId="5900A1D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c>
          <w:tcPr>
            <w:tcW w:w="591" w:type="dxa"/>
            <w:tcBorders>
              <w:top w:val="nil"/>
              <w:left w:val="nil"/>
              <w:bottom w:val="single" w:color="auto" w:sz="8" w:space="0"/>
              <w:right w:val="single" w:color="auto" w:sz="8" w:space="0"/>
            </w:tcBorders>
            <w:tcMar>
              <w:left w:w="57" w:type="dxa"/>
              <w:right w:w="57" w:type="dxa"/>
            </w:tcMar>
            <w:vAlign w:val="center"/>
          </w:tcPr>
          <w:p w14:paraId="177C3BE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c>
          <w:tcPr>
            <w:tcW w:w="591" w:type="dxa"/>
            <w:tcBorders>
              <w:top w:val="nil"/>
              <w:left w:val="nil"/>
              <w:bottom w:val="single" w:color="auto" w:sz="8" w:space="0"/>
              <w:right w:val="single" w:color="auto" w:sz="8" w:space="0"/>
            </w:tcBorders>
            <w:tcMar>
              <w:left w:w="57" w:type="dxa"/>
              <w:right w:w="57" w:type="dxa"/>
            </w:tcMar>
            <w:vAlign w:val="center"/>
          </w:tcPr>
          <w:p w14:paraId="2612F1C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c>
          <w:tcPr>
            <w:tcW w:w="591" w:type="dxa"/>
            <w:tcBorders>
              <w:top w:val="nil"/>
              <w:left w:val="nil"/>
              <w:bottom w:val="single" w:color="auto" w:sz="8" w:space="0"/>
              <w:right w:val="single" w:color="auto" w:sz="8" w:space="0"/>
            </w:tcBorders>
            <w:tcMar>
              <w:left w:w="57" w:type="dxa"/>
              <w:right w:w="57" w:type="dxa"/>
            </w:tcMar>
            <w:vAlign w:val="center"/>
          </w:tcPr>
          <w:p w14:paraId="1A1BC82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3166BB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0 </w:t>
            </w:r>
          </w:p>
        </w:tc>
        <w:tc>
          <w:tcPr>
            <w:tcW w:w="592" w:type="dxa"/>
            <w:tcBorders>
              <w:top w:val="nil"/>
              <w:left w:val="nil"/>
              <w:bottom w:val="single" w:color="auto" w:sz="8" w:space="0"/>
              <w:right w:val="single" w:color="auto" w:sz="8" w:space="0"/>
            </w:tcBorders>
            <w:tcMar>
              <w:left w:w="57" w:type="dxa"/>
              <w:right w:w="57" w:type="dxa"/>
            </w:tcMar>
          </w:tcPr>
          <w:p w14:paraId="7A86615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2</w:t>
            </w:r>
          </w:p>
        </w:tc>
      </w:tr>
      <w:tr w14:paraId="0A54392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3DF94951">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二、上年结转政府信息公开申请数量</w:t>
            </w:r>
          </w:p>
        </w:tc>
        <w:tc>
          <w:tcPr>
            <w:tcW w:w="591" w:type="dxa"/>
            <w:tcBorders>
              <w:top w:val="nil"/>
              <w:left w:val="nil"/>
              <w:bottom w:val="single" w:color="auto" w:sz="8" w:space="0"/>
              <w:right w:val="single" w:color="auto" w:sz="8" w:space="0"/>
            </w:tcBorders>
            <w:tcMar>
              <w:left w:w="57" w:type="dxa"/>
              <w:right w:w="57" w:type="dxa"/>
            </w:tcMar>
            <w:vAlign w:val="center"/>
          </w:tcPr>
          <w:p w14:paraId="5326623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c>
          <w:tcPr>
            <w:tcW w:w="591" w:type="dxa"/>
            <w:tcBorders>
              <w:top w:val="nil"/>
              <w:left w:val="nil"/>
              <w:bottom w:val="single" w:color="auto" w:sz="8" w:space="0"/>
              <w:right w:val="single" w:color="auto" w:sz="8" w:space="0"/>
            </w:tcBorders>
            <w:tcMar>
              <w:left w:w="57" w:type="dxa"/>
              <w:right w:w="57" w:type="dxa"/>
            </w:tcMar>
            <w:vAlign w:val="center"/>
          </w:tcPr>
          <w:p w14:paraId="4FE6401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c>
          <w:tcPr>
            <w:tcW w:w="591" w:type="dxa"/>
            <w:tcBorders>
              <w:top w:val="nil"/>
              <w:left w:val="nil"/>
              <w:bottom w:val="single" w:color="auto" w:sz="8" w:space="0"/>
              <w:right w:val="single" w:color="auto" w:sz="8" w:space="0"/>
            </w:tcBorders>
            <w:tcMar>
              <w:left w:w="57" w:type="dxa"/>
              <w:right w:w="57" w:type="dxa"/>
            </w:tcMar>
            <w:vAlign w:val="center"/>
          </w:tcPr>
          <w:p w14:paraId="08E497C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9955DC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AE5A31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150B884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14:paraId="28E119D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29927BD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restart"/>
            <w:tcBorders>
              <w:top w:val="nil"/>
              <w:left w:val="single" w:color="auto" w:sz="8" w:space="0"/>
              <w:bottom w:val="outset" w:color="auto" w:sz="8" w:space="0"/>
              <w:right w:val="single" w:color="auto" w:sz="8" w:space="0"/>
            </w:tcBorders>
            <w:tcMar>
              <w:left w:w="57" w:type="dxa"/>
              <w:right w:w="57" w:type="dxa"/>
            </w:tcMar>
            <w:vAlign w:val="center"/>
          </w:tcPr>
          <w:p w14:paraId="16B9DAF8">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三、本年度办理结果</w:t>
            </w:r>
          </w:p>
        </w:tc>
        <w:tc>
          <w:tcPr>
            <w:tcW w:w="3579" w:type="dxa"/>
            <w:gridSpan w:val="2"/>
            <w:tcBorders>
              <w:top w:val="nil"/>
              <w:left w:val="nil"/>
              <w:bottom w:val="single" w:color="auto" w:sz="8" w:space="0"/>
              <w:right w:val="single" w:color="auto" w:sz="8" w:space="0"/>
            </w:tcBorders>
            <w:tcMar>
              <w:left w:w="57" w:type="dxa"/>
              <w:right w:w="57" w:type="dxa"/>
            </w:tcMar>
            <w:vAlign w:val="center"/>
          </w:tcPr>
          <w:p w14:paraId="5308D7A5">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（一）予以公开</w:t>
            </w:r>
          </w:p>
        </w:tc>
        <w:tc>
          <w:tcPr>
            <w:tcW w:w="591" w:type="dxa"/>
            <w:tcBorders>
              <w:top w:val="nil"/>
              <w:left w:val="nil"/>
              <w:bottom w:val="single" w:color="auto" w:sz="8" w:space="0"/>
              <w:right w:val="single" w:color="auto" w:sz="8" w:space="0"/>
            </w:tcBorders>
            <w:tcMar>
              <w:left w:w="57" w:type="dxa"/>
              <w:right w:w="57" w:type="dxa"/>
            </w:tcMar>
            <w:vAlign w:val="center"/>
          </w:tcPr>
          <w:p w14:paraId="57252EF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2</w:t>
            </w:r>
          </w:p>
        </w:tc>
        <w:tc>
          <w:tcPr>
            <w:tcW w:w="591" w:type="dxa"/>
            <w:tcBorders>
              <w:top w:val="nil"/>
              <w:left w:val="nil"/>
              <w:bottom w:val="single" w:color="auto" w:sz="8" w:space="0"/>
              <w:right w:val="single" w:color="auto" w:sz="8" w:space="0"/>
            </w:tcBorders>
            <w:tcMar>
              <w:left w:w="57" w:type="dxa"/>
              <w:right w:w="57" w:type="dxa"/>
            </w:tcMar>
            <w:vAlign w:val="center"/>
          </w:tcPr>
          <w:p w14:paraId="2228E45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CBC681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392DC1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2C67AA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12D6DF0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single" w:color="auto" w:sz="8" w:space="0"/>
              <w:left w:val="nil"/>
              <w:bottom w:val="single" w:color="auto" w:sz="8" w:space="0"/>
              <w:right w:val="single" w:color="auto" w:sz="8" w:space="0"/>
            </w:tcBorders>
            <w:tcMar>
              <w:left w:w="57" w:type="dxa"/>
              <w:right w:w="57" w:type="dxa"/>
            </w:tcMar>
          </w:tcPr>
          <w:p w14:paraId="7976676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2</w:t>
            </w:r>
          </w:p>
        </w:tc>
      </w:tr>
      <w:tr w14:paraId="7165475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2DA8FFE">
            <w:pPr>
              <w:rPr>
                <w:rFonts w:ascii="宋体" w:hAnsi="Times New Roman" w:eastAsia="宋体" w:cs="Times New Roman"/>
                <w:sz w:val="24"/>
                <w:szCs w:val="24"/>
              </w:rPr>
            </w:pPr>
          </w:p>
        </w:tc>
        <w:tc>
          <w:tcPr>
            <w:tcW w:w="3579" w:type="dxa"/>
            <w:gridSpan w:val="2"/>
            <w:tcBorders>
              <w:top w:val="nil"/>
              <w:left w:val="nil"/>
              <w:bottom w:val="single" w:color="auto" w:sz="8" w:space="0"/>
              <w:right w:val="single" w:color="auto" w:sz="8" w:space="0"/>
            </w:tcBorders>
            <w:tcMar>
              <w:left w:w="57" w:type="dxa"/>
              <w:right w:w="57" w:type="dxa"/>
            </w:tcMar>
            <w:vAlign w:val="center"/>
          </w:tcPr>
          <w:p w14:paraId="1D75BA68">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（二）部分公开</w:t>
            </w:r>
            <w:r>
              <w:rPr>
                <w:rFonts w:hint="eastAsia" w:ascii="楷体" w:hAnsi="楷体" w:eastAsia="楷体" w:cs="楷体"/>
                <w:kern w:val="0"/>
                <w:sz w:val="20"/>
                <w:szCs w:val="20"/>
                <w:lang w:bidi="ar"/>
              </w:rPr>
              <w:t>（区分处理的，只计这一情形，不计其他情形）</w:t>
            </w:r>
          </w:p>
        </w:tc>
        <w:tc>
          <w:tcPr>
            <w:tcW w:w="591" w:type="dxa"/>
            <w:tcBorders>
              <w:top w:val="nil"/>
              <w:left w:val="nil"/>
              <w:bottom w:val="single" w:color="auto" w:sz="8" w:space="0"/>
              <w:right w:val="single" w:color="auto" w:sz="8" w:space="0"/>
            </w:tcBorders>
            <w:tcMar>
              <w:left w:w="57" w:type="dxa"/>
              <w:right w:w="57" w:type="dxa"/>
            </w:tcMar>
            <w:vAlign w:val="center"/>
          </w:tcPr>
          <w:p w14:paraId="35EB59A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DF11DA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0B3067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688D11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DF47E3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4C575D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317D888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3D13CE8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4AC0BB">
            <w:pPr>
              <w:rPr>
                <w:rFonts w:ascii="宋体" w:hAnsi="Times New Roman" w:eastAsia="宋体" w:cs="Times New Roman"/>
                <w:sz w:val="24"/>
                <w:szCs w:val="24"/>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14:paraId="6A0DAB6E">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（三）不予公开</w:t>
            </w:r>
          </w:p>
        </w:tc>
        <w:tc>
          <w:tcPr>
            <w:tcW w:w="2769" w:type="dxa"/>
            <w:tcBorders>
              <w:top w:val="nil"/>
              <w:left w:val="nil"/>
              <w:bottom w:val="single" w:color="auto" w:sz="8" w:space="0"/>
              <w:right w:val="single" w:color="auto" w:sz="8" w:space="0"/>
            </w:tcBorders>
            <w:tcMar>
              <w:left w:w="57" w:type="dxa"/>
              <w:right w:w="57" w:type="dxa"/>
            </w:tcMar>
          </w:tcPr>
          <w:p w14:paraId="5EE690B8">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1.属于国家秘密</w:t>
            </w:r>
          </w:p>
        </w:tc>
        <w:tc>
          <w:tcPr>
            <w:tcW w:w="591" w:type="dxa"/>
            <w:tcBorders>
              <w:top w:val="nil"/>
              <w:left w:val="nil"/>
              <w:bottom w:val="single" w:color="auto" w:sz="8" w:space="0"/>
              <w:right w:val="single" w:color="auto" w:sz="8" w:space="0"/>
            </w:tcBorders>
            <w:tcMar>
              <w:left w:w="57" w:type="dxa"/>
              <w:right w:w="57" w:type="dxa"/>
            </w:tcMar>
            <w:vAlign w:val="center"/>
          </w:tcPr>
          <w:p w14:paraId="3ACBB68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B0C4CA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A93CC0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488F26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07A823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8CFF9B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single" w:color="auto" w:sz="8" w:space="0"/>
              <w:left w:val="nil"/>
              <w:bottom w:val="single" w:color="auto" w:sz="8" w:space="0"/>
              <w:right w:val="single" w:color="auto" w:sz="8" w:space="0"/>
            </w:tcBorders>
            <w:tcMar>
              <w:left w:w="57" w:type="dxa"/>
              <w:right w:w="57" w:type="dxa"/>
            </w:tcMar>
            <w:vAlign w:val="center"/>
          </w:tcPr>
          <w:p w14:paraId="348A36C9">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53BA4C3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CE07E2">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7C9963FF">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3695B02D">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2.其他法律行政法规禁止公开</w:t>
            </w:r>
          </w:p>
        </w:tc>
        <w:tc>
          <w:tcPr>
            <w:tcW w:w="591" w:type="dxa"/>
            <w:tcBorders>
              <w:top w:val="nil"/>
              <w:left w:val="nil"/>
              <w:bottom w:val="single" w:color="auto" w:sz="8" w:space="0"/>
              <w:right w:val="single" w:color="auto" w:sz="8" w:space="0"/>
            </w:tcBorders>
            <w:tcMar>
              <w:left w:w="57" w:type="dxa"/>
              <w:right w:w="57" w:type="dxa"/>
            </w:tcMar>
            <w:vAlign w:val="center"/>
          </w:tcPr>
          <w:p w14:paraId="6515EF2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CDD3F19">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87ACEC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C98568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047A4A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07F367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4FEA86C5">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26DDAB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DBD1B9A">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1FDB5AEA">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3505EBD2">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3.危及“三安全一稳定”</w:t>
            </w:r>
          </w:p>
        </w:tc>
        <w:tc>
          <w:tcPr>
            <w:tcW w:w="591" w:type="dxa"/>
            <w:tcBorders>
              <w:top w:val="nil"/>
              <w:left w:val="nil"/>
              <w:bottom w:val="single" w:color="auto" w:sz="8" w:space="0"/>
              <w:right w:val="single" w:color="auto" w:sz="8" w:space="0"/>
            </w:tcBorders>
            <w:tcMar>
              <w:left w:w="57" w:type="dxa"/>
              <w:right w:w="57" w:type="dxa"/>
            </w:tcMar>
            <w:vAlign w:val="center"/>
          </w:tcPr>
          <w:p w14:paraId="69AEB319">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FD8953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F4C43C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FF2094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0A3D1D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75D2DF0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1C30F60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59C9D5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26C47DB">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31AC81EA">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21F7E11F">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4.保护第三方合法权益</w:t>
            </w:r>
          </w:p>
        </w:tc>
        <w:tc>
          <w:tcPr>
            <w:tcW w:w="591" w:type="dxa"/>
            <w:tcBorders>
              <w:top w:val="nil"/>
              <w:left w:val="nil"/>
              <w:bottom w:val="single" w:color="auto" w:sz="8" w:space="0"/>
              <w:right w:val="single" w:color="auto" w:sz="8" w:space="0"/>
            </w:tcBorders>
            <w:tcMar>
              <w:left w:w="57" w:type="dxa"/>
              <w:right w:w="57" w:type="dxa"/>
            </w:tcMar>
            <w:vAlign w:val="center"/>
          </w:tcPr>
          <w:p w14:paraId="146D133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5DCC5E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C0F21C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0603A69">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D7D4EA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22CA612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553338C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1E725D9D">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E403E7B">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4C6010E3">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75ED7C5B">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5.属于三类内部事务信息</w:t>
            </w:r>
          </w:p>
        </w:tc>
        <w:tc>
          <w:tcPr>
            <w:tcW w:w="591" w:type="dxa"/>
            <w:tcBorders>
              <w:top w:val="nil"/>
              <w:left w:val="nil"/>
              <w:bottom w:val="single" w:color="auto" w:sz="8" w:space="0"/>
              <w:right w:val="single" w:color="auto" w:sz="8" w:space="0"/>
            </w:tcBorders>
            <w:tcMar>
              <w:left w:w="57" w:type="dxa"/>
              <w:right w:w="57" w:type="dxa"/>
            </w:tcMar>
            <w:vAlign w:val="center"/>
          </w:tcPr>
          <w:p w14:paraId="3C873A4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22F526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A3CD6C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88F578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DC56FD9">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2D4DFC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55FD8F7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13E1F96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6E94A3A7">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26F15DFE">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61F9CA8D">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6.属于四类过程性信息</w:t>
            </w:r>
          </w:p>
        </w:tc>
        <w:tc>
          <w:tcPr>
            <w:tcW w:w="591" w:type="dxa"/>
            <w:tcBorders>
              <w:top w:val="nil"/>
              <w:left w:val="nil"/>
              <w:bottom w:val="single" w:color="auto" w:sz="8" w:space="0"/>
              <w:right w:val="single" w:color="auto" w:sz="8" w:space="0"/>
            </w:tcBorders>
            <w:tcMar>
              <w:left w:w="57" w:type="dxa"/>
              <w:right w:w="57" w:type="dxa"/>
            </w:tcMar>
            <w:vAlign w:val="center"/>
          </w:tcPr>
          <w:p w14:paraId="110C75E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59E013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A1CE68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AD79F2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1212895">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327D41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4EF60D98">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509DAF7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B6D0D05">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028D5A1A">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1C28CCD1">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7.属于行政执法案卷</w:t>
            </w:r>
          </w:p>
        </w:tc>
        <w:tc>
          <w:tcPr>
            <w:tcW w:w="591" w:type="dxa"/>
            <w:tcBorders>
              <w:top w:val="nil"/>
              <w:left w:val="nil"/>
              <w:bottom w:val="single" w:color="auto" w:sz="8" w:space="0"/>
              <w:right w:val="single" w:color="auto" w:sz="8" w:space="0"/>
            </w:tcBorders>
            <w:tcMar>
              <w:left w:w="57" w:type="dxa"/>
              <w:right w:w="57" w:type="dxa"/>
            </w:tcMar>
            <w:vAlign w:val="center"/>
          </w:tcPr>
          <w:p w14:paraId="38294E5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2C8C7D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808194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7E6398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B72EF4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7A0CCDB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6EF71C5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08D67C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5AC0972">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2A239A7F">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67A653DC">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8.属于行政查询事项</w:t>
            </w:r>
          </w:p>
        </w:tc>
        <w:tc>
          <w:tcPr>
            <w:tcW w:w="591" w:type="dxa"/>
            <w:tcBorders>
              <w:top w:val="nil"/>
              <w:left w:val="nil"/>
              <w:bottom w:val="single" w:color="auto" w:sz="8" w:space="0"/>
              <w:right w:val="single" w:color="auto" w:sz="8" w:space="0"/>
            </w:tcBorders>
            <w:tcMar>
              <w:left w:w="57" w:type="dxa"/>
              <w:right w:w="57" w:type="dxa"/>
            </w:tcMar>
            <w:vAlign w:val="center"/>
          </w:tcPr>
          <w:p w14:paraId="2237FBC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675466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A3EE4A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BBDEB6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925860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DD4D8F9">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116137B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445993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7AE3542">
            <w:pPr>
              <w:rPr>
                <w:rFonts w:ascii="宋体" w:hAnsi="Times New Roman" w:eastAsia="宋体" w:cs="Times New Roman"/>
                <w:sz w:val="24"/>
                <w:szCs w:val="24"/>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14:paraId="2324CC36">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（四）无法提供</w:t>
            </w:r>
          </w:p>
        </w:tc>
        <w:tc>
          <w:tcPr>
            <w:tcW w:w="2769" w:type="dxa"/>
            <w:tcBorders>
              <w:top w:val="nil"/>
              <w:left w:val="nil"/>
              <w:bottom w:val="single" w:color="auto" w:sz="8" w:space="0"/>
              <w:right w:val="single" w:color="auto" w:sz="8" w:space="0"/>
            </w:tcBorders>
            <w:tcMar>
              <w:left w:w="57" w:type="dxa"/>
              <w:right w:w="57" w:type="dxa"/>
            </w:tcMar>
          </w:tcPr>
          <w:p w14:paraId="2D5979FA">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1.本机关不掌握相关政府信息</w:t>
            </w:r>
          </w:p>
        </w:tc>
        <w:tc>
          <w:tcPr>
            <w:tcW w:w="591" w:type="dxa"/>
            <w:tcBorders>
              <w:top w:val="nil"/>
              <w:left w:val="nil"/>
              <w:bottom w:val="single" w:color="auto" w:sz="8" w:space="0"/>
              <w:right w:val="single" w:color="auto" w:sz="8" w:space="0"/>
            </w:tcBorders>
            <w:tcMar>
              <w:left w:w="57" w:type="dxa"/>
              <w:right w:w="57" w:type="dxa"/>
            </w:tcMar>
            <w:vAlign w:val="center"/>
          </w:tcPr>
          <w:p w14:paraId="2DEA82D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7FA90E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80C6BE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76ED09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460D44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1B536A65">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278C5D55">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174497B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3CAAC00">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74D996EC">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006F34DD">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2.没有现成信息需要另行制作</w:t>
            </w:r>
          </w:p>
        </w:tc>
        <w:tc>
          <w:tcPr>
            <w:tcW w:w="591" w:type="dxa"/>
            <w:tcBorders>
              <w:top w:val="nil"/>
              <w:left w:val="nil"/>
              <w:bottom w:val="single" w:color="auto" w:sz="8" w:space="0"/>
              <w:right w:val="single" w:color="auto" w:sz="8" w:space="0"/>
            </w:tcBorders>
            <w:tcMar>
              <w:left w:w="57" w:type="dxa"/>
              <w:right w:w="57" w:type="dxa"/>
            </w:tcMar>
            <w:vAlign w:val="center"/>
          </w:tcPr>
          <w:p w14:paraId="637FE35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7E6499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9C2255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07CFCE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6515AA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F2724B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4057584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6868429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B85D6F0">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4C09C24B">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5001FFC2">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3.补正后申请内容仍不明确</w:t>
            </w:r>
          </w:p>
        </w:tc>
        <w:tc>
          <w:tcPr>
            <w:tcW w:w="591" w:type="dxa"/>
            <w:tcBorders>
              <w:top w:val="nil"/>
              <w:left w:val="nil"/>
              <w:bottom w:val="single" w:color="auto" w:sz="8" w:space="0"/>
              <w:right w:val="single" w:color="auto" w:sz="8" w:space="0"/>
            </w:tcBorders>
            <w:tcMar>
              <w:left w:w="57" w:type="dxa"/>
              <w:right w:w="57" w:type="dxa"/>
            </w:tcMar>
            <w:vAlign w:val="center"/>
          </w:tcPr>
          <w:p w14:paraId="56073F38">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6D709D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C704738">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7ED904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A3C6CA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FEE081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3B9A840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6B46A8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5770A2A9">
            <w:pPr>
              <w:rPr>
                <w:rFonts w:ascii="宋体" w:hAnsi="Times New Roman" w:eastAsia="宋体" w:cs="Times New Roman"/>
                <w:sz w:val="24"/>
                <w:szCs w:val="24"/>
              </w:rPr>
            </w:pPr>
          </w:p>
        </w:tc>
        <w:tc>
          <w:tcPr>
            <w:tcW w:w="810" w:type="dxa"/>
            <w:vMerge w:val="restart"/>
            <w:tcBorders>
              <w:top w:val="nil"/>
              <w:left w:val="nil"/>
              <w:bottom w:val="outset" w:color="auto" w:sz="8" w:space="0"/>
              <w:right w:val="single" w:color="auto" w:sz="8" w:space="0"/>
            </w:tcBorders>
            <w:tcMar>
              <w:left w:w="57" w:type="dxa"/>
              <w:right w:w="57" w:type="dxa"/>
            </w:tcMar>
            <w:vAlign w:val="center"/>
          </w:tcPr>
          <w:p w14:paraId="6273B5CA">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（五）不予处理</w:t>
            </w:r>
          </w:p>
        </w:tc>
        <w:tc>
          <w:tcPr>
            <w:tcW w:w="2769" w:type="dxa"/>
            <w:tcBorders>
              <w:top w:val="nil"/>
              <w:left w:val="nil"/>
              <w:bottom w:val="single" w:color="auto" w:sz="8" w:space="0"/>
              <w:right w:val="single" w:color="auto" w:sz="8" w:space="0"/>
            </w:tcBorders>
            <w:tcMar>
              <w:left w:w="57" w:type="dxa"/>
              <w:right w:w="57" w:type="dxa"/>
            </w:tcMar>
          </w:tcPr>
          <w:p w14:paraId="3D287E98">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1.信访举报投诉类申请</w:t>
            </w:r>
          </w:p>
        </w:tc>
        <w:tc>
          <w:tcPr>
            <w:tcW w:w="591" w:type="dxa"/>
            <w:tcBorders>
              <w:top w:val="nil"/>
              <w:left w:val="nil"/>
              <w:bottom w:val="single" w:color="auto" w:sz="8" w:space="0"/>
              <w:right w:val="single" w:color="auto" w:sz="8" w:space="0"/>
            </w:tcBorders>
            <w:tcMar>
              <w:left w:w="57" w:type="dxa"/>
              <w:right w:w="57" w:type="dxa"/>
            </w:tcMar>
            <w:vAlign w:val="center"/>
          </w:tcPr>
          <w:p w14:paraId="65D5CE6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A99AFB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DEF4B15">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B5B1B6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DBEF78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1A57DA9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665AFBB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12345B4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32B39DAE">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1FDF3754">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1F6A7163">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2.重复申请</w:t>
            </w:r>
          </w:p>
        </w:tc>
        <w:tc>
          <w:tcPr>
            <w:tcW w:w="591" w:type="dxa"/>
            <w:tcBorders>
              <w:top w:val="nil"/>
              <w:left w:val="nil"/>
              <w:bottom w:val="single" w:color="auto" w:sz="8" w:space="0"/>
              <w:right w:val="single" w:color="auto" w:sz="8" w:space="0"/>
            </w:tcBorders>
            <w:tcMar>
              <w:left w:w="57" w:type="dxa"/>
              <w:right w:w="57" w:type="dxa"/>
            </w:tcMar>
            <w:vAlign w:val="center"/>
          </w:tcPr>
          <w:p w14:paraId="364A7ED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3CAA36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330E64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482FE2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B59D1C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25D999A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084BC60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6E63ED8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D26CFCA">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3B954160">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0744A6D0">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3.要求提供公开出版物</w:t>
            </w:r>
          </w:p>
        </w:tc>
        <w:tc>
          <w:tcPr>
            <w:tcW w:w="591" w:type="dxa"/>
            <w:tcBorders>
              <w:top w:val="nil"/>
              <w:left w:val="nil"/>
              <w:bottom w:val="single" w:color="auto" w:sz="8" w:space="0"/>
              <w:right w:val="single" w:color="auto" w:sz="8" w:space="0"/>
            </w:tcBorders>
            <w:tcMar>
              <w:left w:w="57" w:type="dxa"/>
              <w:right w:w="57" w:type="dxa"/>
            </w:tcMar>
            <w:vAlign w:val="center"/>
          </w:tcPr>
          <w:p w14:paraId="0FF58C6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619761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B748E2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2081F4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7E2DE09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1F1B07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1F29DB2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4518E3F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4291543A">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68063DCF">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tcPr>
          <w:p w14:paraId="7F713D7C">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4.无正当理由大量反复申请</w:t>
            </w:r>
          </w:p>
        </w:tc>
        <w:tc>
          <w:tcPr>
            <w:tcW w:w="591" w:type="dxa"/>
            <w:tcBorders>
              <w:top w:val="nil"/>
              <w:left w:val="nil"/>
              <w:bottom w:val="single" w:color="auto" w:sz="8" w:space="0"/>
              <w:right w:val="single" w:color="auto" w:sz="8" w:space="0"/>
            </w:tcBorders>
            <w:tcMar>
              <w:left w:w="57" w:type="dxa"/>
              <w:right w:w="57" w:type="dxa"/>
            </w:tcMar>
            <w:vAlign w:val="center"/>
          </w:tcPr>
          <w:p w14:paraId="698464D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84D612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E03138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1CD633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25F7DDC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0F024C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67E62C1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6078ADD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99"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27353112">
            <w:pPr>
              <w:rPr>
                <w:rFonts w:ascii="宋体" w:hAnsi="Times New Roman" w:eastAsia="宋体" w:cs="Times New Roman"/>
                <w:sz w:val="24"/>
                <w:szCs w:val="24"/>
              </w:rPr>
            </w:pPr>
          </w:p>
        </w:tc>
        <w:tc>
          <w:tcPr>
            <w:tcW w:w="810" w:type="dxa"/>
            <w:vMerge w:val="continue"/>
            <w:tcBorders>
              <w:top w:val="nil"/>
              <w:left w:val="nil"/>
              <w:bottom w:val="outset" w:color="auto" w:sz="8" w:space="0"/>
              <w:right w:val="single" w:color="auto" w:sz="8" w:space="0"/>
            </w:tcBorders>
            <w:tcMar>
              <w:left w:w="57" w:type="dxa"/>
              <w:right w:w="57" w:type="dxa"/>
            </w:tcMar>
            <w:vAlign w:val="center"/>
          </w:tcPr>
          <w:p w14:paraId="3FF787A4">
            <w:pPr>
              <w:rPr>
                <w:rFonts w:ascii="宋体" w:hAnsi="Times New Roman" w:eastAsia="宋体" w:cs="Times New Roman"/>
                <w:sz w:val="24"/>
                <w:szCs w:val="24"/>
              </w:rPr>
            </w:pPr>
          </w:p>
        </w:tc>
        <w:tc>
          <w:tcPr>
            <w:tcW w:w="2769" w:type="dxa"/>
            <w:tcBorders>
              <w:top w:val="nil"/>
              <w:left w:val="nil"/>
              <w:bottom w:val="outset" w:color="auto" w:sz="8" w:space="0"/>
              <w:right w:val="single" w:color="auto" w:sz="8" w:space="0"/>
            </w:tcBorders>
            <w:tcMar>
              <w:left w:w="57" w:type="dxa"/>
              <w:right w:w="57" w:type="dxa"/>
            </w:tcMar>
            <w:vAlign w:val="center"/>
          </w:tcPr>
          <w:p w14:paraId="75A22C3A">
            <w:pPr>
              <w:widowControl/>
              <w:rPr>
                <w:rFonts w:ascii="Times New Roman" w:hAnsi="Times New Roman" w:eastAsia="宋体" w:cs="Times New Roman"/>
                <w:szCs w:val="24"/>
              </w:rPr>
            </w:pPr>
            <w:r>
              <w:rPr>
                <w:rFonts w:hint="eastAsia" w:ascii="宋体" w:hAnsi="宋体" w:eastAsia="宋体" w:cs="宋体"/>
                <w:kern w:val="0"/>
                <w:sz w:val="20"/>
                <w:szCs w:val="20"/>
                <w:lang w:bidi="ar"/>
              </w:rPr>
              <w:t>5.要求行政机关确认或重新出具已获取信息</w:t>
            </w:r>
          </w:p>
        </w:tc>
        <w:tc>
          <w:tcPr>
            <w:tcW w:w="591" w:type="dxa"/>
            <w:tcBorders>
              <w:top w:val="nil"/>
              <w:left w:val="nil"/>
              <w:bottom w:val="outset" w:color="auto" w:sz="8" w:space="0"/>
              <w:right w:val="single" w:color="auto" w:sz="8" w:space="0"/>
            </w:tcBorders>
            <w:tcMar>
              <w:left w:w="57" w:type="dxa"/>
              <w:right w:w="57" w:type="dxa"/>
            </w:tcMar>
            <w:vAlign w:val="center"/>
          </w:tcPr>
          <w:p w14:paraId="7A50058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vAlign w:val="center"/>
          </w:tcPr>
          <w:p w14:paraId="4202FF8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vAlign w:val="center"/>
          </w:tcPr>
          <w:p w14:paraId="39D6AF08">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vAlign w:val="center"/>
          </w:tcPr>
          <w:p w14:paraId="1A55989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outset" w:color="auto" w:sz="8" w:space="0"/>
              <w:right w:val="single" w:color="auto" w:sz="8" w:space="0"/>
            </w:tcBorders>
            <w:tcMar>
              <w:left w:w="57" w:type="dxa"/>
              <w:right w:w="57" w:type="dxa"/>
            </w:tcMar>
            <w:vAlign w:val="center"/>
          </w:tcPr>
          <w:p w14:paraId="418519D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outset" w:color="auto" w:sz="8" w:space="0"/>
              <w:right w:val="single" w:color="auto" w:sz="8" w:space="0"/>
            </w:tcBorders>
            <w:tcMar>
              <w:left w:w="57" w:type="dxa"/>
              <w:right w:w="57" w:type="dxa"/>
            </w:tcMar>
            <w:vAlign w:val="center"/>
          </w:tcPr>
          <w:p w14:paraId="696FB1C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outset" w:color="auto" w:sz="8" w:space="0"/>
              <w:right w:val="single" w:color="auto" w:sz="8" w:space="0"/>
            </w:tcBorders>
            <w:tcMar>
              <w:left w:w="57" w:type="dxa"/>
              <w:right w:w="57" w:type="dxa"/>
            </w:tcMar>
            <w:vAlign w:val="center"/>
          </w:tcPr>
          <w:p w14:paraId="1C7B645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6B8E9C0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A66F476">
            <w:pPr>
              <w:rPr>
                <w:rFonts w:ascii="宋体" w:hAnsi="Times New Roman" w:eastAsia="宋体" w:cs="Times New Roman"/>
                <w:sz w:val="24"/>
                <w:szCs w:val="24"/>
              </w:rPr>
            </w:pPr>
          </w:p>
        </w:tc>
        <w:tc>
          <w:tcPr>
            <w:tcW w:w="810" w:type="dxa"/>
            <w:vMerge w:val="restart"/>
            <w:tcBorders>
              <w:top w:val="outset" w:color="auto" w:sz="8" w:space="0"/>
              <w:left w:val="nil"/>
              <w:bottom w:val="outset" w:color="auto" w:sz="8" w:space="0"/>
              <w:right w:val="single" w:color="auto" w:sz="8" w:space="0"/>
            </w:tcBorders>
            <w:tcMar>
              <w:left w:w="57" w:type="dxa"/>
              <w:right w:w="57" w:type="dxa"/>
            </w:tcMar>
            <w:vAlign w:val="center"/>
          </w:tcPr>
          <w:p w14:paraId="2BDA1337">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（六）其他处理</w:t>
            </w:r>
          </w:p>
        </w:tc>
        <w:tc>
          <w:tcPr>
            <w:tcW w:w="2769" w:type="dxa"/>
            <w:tcBorders>
              <w:top w:val="nil"/>
              <w:left w:val="nil"/>
              <w:bottom w:val="single" w:color="auto" w:sz="8" w:space="0"/>
              <w:right w:val="single" w:color="auto" w:sz="8" w:space="0"/>
            </w:tcBorders>
            <w:tcMar>
              <w:left w:w="57" w:type="dxa"/>
              <w:right w:w="57" w:type="dxa"/>
            </w:tcMar>
            <w:vAlign w:val="center"/>
          </w:tcPr>
          <w:p w14:paraId="60B7E269">
            <w:pPr>
              <w:widowControl/>
              <w:rPr>
                <w:rFonts w:ascii="Times New Roman" w:hAnsi="Times New Roman" w:eastAsia="宋体" w:cs="Times New Roman"/>
                <w:szCs w:val="24"/>
              </w:rPr>
            </w:pPr>
            <w:r>
              <w:rPr>
                <w:rFonts w:hint="eastAsia" w:ascii="宋体" w:hAnsi="宋体" w:eastAsia="宋体" w:cs="宋体"/>
                <w:kern w:val="0"/>
                <w:sz w:val="20"/>
                <w:szCs w:val="20"/>
                <w:lang w:bidi="ar"/>
              </w:rPr>
              <w:t>1.申请人无正当理由逾期不补正、行政机关不再处理其政府信息公开申请</w:t>
            </w:r>
          </w:p>
        </w:tc>
        <w:tc>
          <w:tcPr>
            <w:tcW w:w="591" w:type="dxa"/>
            <w:tcBorders>
              <w:top w:val="nil"/>
              <w:left w:val="nil"/>
              <w:bottom w:val="single" w:color="auto" w:sz="8" w:space="0"/>
              <w:right w:val="single" w:color="auto" w:sz="8" w:space="0"/>
            </w:tcBorders>
            <w:tcMar>
              <w:left w:w="57" w:type="dxa"/>
              <w:right w:w="57" w:type="dxa"/>
            </w:tcMar>
            <w:vAlign w:val="center"/>
          </w:tcPr>
          <w:p w14:paraId="5F1B46E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3259EE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8359C5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7A30B9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19B75CC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57DBC26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236AEAD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7345158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55"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0DF70BC0">
            <w:pPr>
              <w:rPr>
                <w:rFonts w:ascii="宋体" w:hAnsi="Times New Roman" w:eastAsia="宋体" w:cs="Times New Roman"/>
                <w:sz w:val="24"/>
                <w:szCs w:val="24"/>
              </w:rPr>
            </w:pPr>
          </w:p>
        </w:tc>
        <w:tc>
          <w:tcPr>
            <w:tcW w:w="810"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6C7A8D5C">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vAlign w:val="center"/>
          </w:tcPr>
          <w:p w14:paraId="46335660">
            <w:pPr>
              <w:widowControl/>
              <w:rPr>
                <w:rFonts w:ascii="Times New Roman" w:hAnsi="Times New Roman" w:eastAsia="宋体" w:cs="Times New Roman"/>
                <w:szCs w:val="24"/>
              </w:rPr>
            </w:pPr>
            <w:r>
              <w:rPr>
                <w:rFonts w:hint="eastAsia" w:ascii="宋体" w:hAnsi="宋体" w:eastAsia="宋体" w:cs="宋体"/>
                <w:kern w:val="0"/>
                <w:sz w:val="20"/>
                <w:szCs w:val="20"/>
                <w:lang w:bidi="ar"/>
              </w:rPr>
              <w:t>2.申请人逾期未按收费通知要求缴纳费用、行政机关不再处理其政府信息公开申请</w:t>
            </w:r>
          </w:p>
        </w:tc>
        <w:tc>
          <w:tcPr>
            <w:tcW w:w="591" w:type="dxa"/>
            <w:tcBorders>
              <w:top w:val="nil"/>
              <w:left w:val="nil"/>
              <w:bottom w:val="single" w:color="auto" w:sz="8" w:space="0"/>
              <w:right w:val="single" w:color="auto" w:sz="8" w:space="0"/>
            </w:tcBorders>
            <w:tcMar>
              <w:left w:w="57" w:type="dxa"/>
              <w:right w:w="57" w:type="dxa"/>
            </w:tcMar>
            <w:vAlign w:val="center"/>
          </w:tcPr>
          <w:p w14:paraId="019C347C">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A9ED9D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5649A3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D1181F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6C7E10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6A0427E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5C9FC79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76242F3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1D5FB024">
            <w:pPr>
              <w:rPr>
                <w:rFonts w:ascii="宋体" w:hAnsi="Times New Roman" w:eastAsia="宋体" w:cs="Times New Roman"/>
                <w:sz w:val="24"/>
                <w:szCs w:val="24"/>
              </w:rPr>
            </w:pPr>
          </w:p>
        </w:tc>
        <w:tc>
          <w:tcPr>
            <w:tcW w:w="810" w:type="dxa"/>
            <w:vMerge w:val="continue"/>
            <w:tcBorders>
              <w:top w:val="outset" w:color="auto" w:sz="8" w:space="0"/>
              <w:left w:val="nil"/>
              <w:bottom w:val="outset" w:color="auto" w:sz="8" w:space="0"/>
              <w:right w:val="single" w:color="auto" w:sz="8" w:space="0"/>
            </w:tcBorders>
            <w:tcMar>
              <w:left w:w="57" w:type="dxa"/>
              <w:right w:w="57" w:type="dxa"/>
            </w:tcMar>
            <w:vAlign w:val="center"/>
          </w:tcPr>
          <w:p w14:paraId="794A452C">
            <w:pPr>
              <w:rPr>
                <w:rFonts w:ascii="宋体" w:hAnsi="Times New Roman" w:eastAsia="宋体" w:cs="Times New Roman"/>
                <w:sz w:val="24"/>
                <w:szCs w:val="24"/>
              </w:rPr>
            </w:pPr>
          </w:p>
        </w:tc>
        <w:tc>
          <w:tcPr>
            <w:tcW w:w="2769" w:type="dxa"/>
            <w:tcBorders>
              <w:top w:val="nil"/>
              <w:left w:val="nil"/>
              <w:bottom w:val="single" w:color="auto" w:sz="8" w:space="0"/>
              <w:right w:val="single" w:color="auto" w:sz="8" w:space="0"/>
            </w:tcBorders>
            <w:tcMar>
              <w:left w:w="57" w:type="dxa"/>
              <w:right w:w="57" w:type="dxa"/>
            </w:tcMar>
            <w:vAlign w:val="center"/>
          </w:tcPr>
          <w:p w14:paraId="5DBE0B31">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3.其他</w:t>
            </w:r>
          </w:p>
        </w:tc>
        <w:tc>
          <w:tcPr>
            <w:tcW w:w="591" w:type="dxa"/>
            <w:tcBorders>
              <w:top w:val="nil"/>
              <w:left w:val="nil"/>
              <w:bottom w:val="single" w:color="auto" w:sz="8" w:space="0"/>
              <w:right w:val="single" w:color="auto" w:sz="8" w:space="0"/>
            </w:tcBorders>
            <w:tcMar>
              <w:left w:w="57" w:type="dxa"/>
              <w:right w:w="57" w:type="dxa"/>
            </w:tcMar>
            <w:vAlign w:val="center"/>
          </w:tcPr>
          <w:p w14:paraId="39168FB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6BD6D6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53093DA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AC0598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EBA5FB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0519E9B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vAlign w:val="center"/>
          </w:tcPr>
          <w:p w14:paraId="24C81C16">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r w14:paraId="63CD066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2" w:hRule="atLeast"/>
          <w:jc w:val="center"/>
        </w:trPr>
        <w:tc>
          <w:tcPr>
            <w:tcW w:w="660" w:type="dxa"/>
            <w:vMerge w:val="continue"/>
            <w:tcBorders>
              <w:top w:val="nil"/>
              <w:left w:val="single" w:color="auto" w:sz="8" w:space="0"/>
              <w:bottom w:val="outset" w:color="auto" w:sz="8" w:space="0"/>
              <w:right w:val="single" w:color="auto" w:sz="8" w:space="0"/>
            </w:tcBorders>
            <w:tcMar>
              <w:left w:w="57" w:type="dxa"/>
              <w:right w:w="57" w:type="dxa"/>
            </w:tcMar>
            <w:vAlign w:val="center"/>
          </w:tcPr>
          <w:p w14:paraId="7963B0F6">
            <w:pPr>
              <w:rPr>
                <w:rFonts w:ascii="宋体" w:hAnsi="Times New Roman" w:eastAsia="宋体" w:cs="Times New Roman"/>
                <w:sz w:val="24"/>
                <w:szCs w:val="24"/>
              </w:rPr>
            </w:pPr>
          </w:p>
        </w:tc>
        <w:tc>
          <w:tcPr>
            <w:tcW w:w="3579" w:type="dxa"/>
            <w:gridSpan w:val="2"/>
            <w:tcBorders>
              <w:top w:val="nil"/>
              <w:left w:val="nil"/>
              <w:bottom w:val="single" w:color="auto" w:sz="8" w:space="0"/>
              <w:right w:val="single" w:color="auto" w:sz="8" w:space="0"/>
            </w:tcBorders>
            <w:tcMar>
              <w:left w:w="57" w:type="dxa"/>
              <w:right w:w="57" w:type="dxa"/>
            </w:tcMar>
            <w:vAlign w:val="center"/>
          </w:tcPr>
          <w:p w14:paraId="4B2475F0">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（七）总计</w:t>
            </w:r>
          </w:p>
        </w:tc>
        <w:tc>
          <w:tcPr>
            <w:tcW w:w="591" w:type="dxa"/>
            <w:tcBorders>
              <w:top w:val="nil"/>
              <w:left w:val="nil"/>
              <w:bottom w:val="single" w:color="auto" w:sz="8" w:space="0"/>
              <w:right w:val="single" w:color="auto" w:sz="8" w:space="0"/>
            </w:tcBorders>
            <w:tcMar>
              <w:left w:w="57" w:type="dxa"/>
              <w:right w:w="57" w:type="dxa"/>
            </w:tcMar>
            <w:vAlign w:val="center"/>
          </w:tcPr>
          <w:p w14:paraId="3A9324F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2</w:t>
            </w:r>
          </w:p>
        </w:tc>
        <w:tc>
          <w:tcPr>
            <w:tcW w:w="591" w:type="dxa"/>
            <w:tcBorders>
              <w:top w:val="nil"/>
              <w:left w:val="nil"/>
              <w:bottom w:val="single" w:color="auto" w:sz="8" w:space="0"/>
              <w:right w:val="single" w:color="auto" w:sz="8" w:space="0"/>
            </w:tcBorders>
            <w:tcMar>
              <w:left w:w="57" w:type="dxa"/>
              <w:right w:w="57" w:type="dxa"/>
            </w:tcMar>
            <w:vAlign w:val="center"/>
          </w:tcPr>
          <w:p w14:paraId="747E684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6DC4C7E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3F2660C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0B724A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32983F4E">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14:paraId="07E64C28">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2</w:t>
            </w:r>
          </w:p>
        </w:tc>
      </w:tr>
      <w:tr w14:paraId="3A1BD41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52" w:hRule="atLeast"/>
          <w:jc w:val="center"/>
        </w:trPr>
        <w:tc>
          <w:tcPr>
            <w:tcW w:w="4239" w:type="dxa"/>
            <w:gridSpan w:val="3"/>
            <w:tcBorders>
              <w:top w:val="nil"/>
              <w:left w:val="single" w:color="auto" w:sz="8" w:space="0"/>
              <w:bottom w:val="single" w:color="auto" w:sz="8" w:space="0"/>
              <w:right w:val="single" w:color="auto" w:sz="8" w:space="0"/>
            </w:tcBorders>
            <w:tcMar>
              <w:left w:w="57" w:type="dxa"/>
              <w:right w:w="57" w:type="dxa"/>
            </w:tcMar>
            <w:vAlign w:val="center"/>
          </w:tcPr>
          <w:p w14:paraId="53EBCF1D">
            <w:pPr>
              <w:widowControl/>
              <w:jc w:val="left"/>
              <w:rPr>
                <w:rFonts w:ascii="Times New Roman" w:hAnsi="Times New Roman" w:eastAsia="宋体" w:cs="Times New Roman"/>
                <w:szCs w:val="24"/>
              </w:rPr>
            </w:pPr>
            <w:r>
              <w:rPr>
                <w:rFonts w:hint="eastAsia" w:ascii="宋体" w:hAnsi="宋体" w:eastAsia="宋体" w:cs="宋体"/>
                <w:kern w:val="0"/>
                <w:sz w:val="20"/>
                <w:szCs w:val="20"/>
                <w:lang w:bidi="ar"/>
              </w:rPr>
              <w:t>四、结转下年度继续办理</w:t>
            </w:r>
          </w:p>
        </w:tc>
        <w:tc>
          <w:tcPr>
            <w:tcW w:w="591" w:type="dxa"/>
            <w:tcBorders>
              <w:top w:val="nil"/>
              <w:left w:val="nil"/>
              <w:bottom w:val="single" w:color="auto" w:sz="8" w:space="0"/>
              <w:right w:val="single" w:color="auto" w:sz="8" w:space="0"/>
            </w:tcBorders>
            <w:tcMar>
              <w:left w:w="57" w:type="dxa"/>
              <w:right w:w="57" w:type="dxa"/>
            </w:tcMar>
            <w:vAlign w:val="center"/>
          </w:tcPr>
          <w:p w14:paraId="66EDA2D5">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c>
          <w:tcPr>
            <w:tcW w:w="591" w:type="dxa"/>
            <w:tcBorders>
              <w:top w:val="nil"/>
              <w:left w:val="nil"/>
              <w:bottom w:val="single" w:color="auto" w:sz="8" w:space="0"/>
              <w:right w:val="single" w:color="auto" w:sz="8" w:space="0"/>
            </w:tcBorders>
            <w:tcMar>
              <w:left w:w="57" w:type="dxa"/>
              <w:right w:w="57" w:type="dxa"/>
            </w:tcMar>
            <w:vAlign w:val="center"/>
          </w:tcPr>
          <w:p w14:paraId="40ABEDD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0521BAA5">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1" w:type="dxa"/>
            <w:tcBorders>
              <w:top w:val="nil"/>
              <w:left w:val="nil"/>
              <w:bottom w:val="single" w:color="auto" w:sz="8" w:space="0"/>
              <w:right w:val="single" w:color="auto" w:sz="8" w:space="0"/>
            </w:tcBorders>
            <w:tcMar>
              <w:left w:w="57" w:type="dxa"/>
              <w:right w:w="57" w:type="dxa"/>
            </w:tcMar>
            <w:vAlign w:val="center"/>
          </w:tcPr>
          <w:p w14:paraId="40B9AD7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c>
          <w:tcPr>
            <w:tcW w:w="591" w:type="dxa"/>
            <w:tcBorders>
              <w:top w:val="nil"/>
              <w:left w:val="nil"/>
              <w:bottom w:val="single" w:color="auto" w:sz="8" w:space="0"/>
              <w:right w:val="single" w:color="auto" w:sz="8" w:space="0"/>
            </w:tcBorders>
            <w:tcMar>
              <w:left w:w="57" w:type="dxa"/>
              <w:right w:w="57" w:type="dxa"/>
            </w:tcMar>
            <w:vAlign w:val="center"/>
          </w:tcPr>
          <w:p w14:paraId="43D2B5C0">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3" w:type="dxa"/>
            <w:tcBorders>
              <w:top w:val="nil"/>
              <w:left w:val="nil"/>
              <w:bottom w:val="single" w:color="auto" w:sz="8" w:space="0"/>
              <w:right w:val="single" w:color="auto" w:sz="8" w:space="0"/>
            </w:tcBorders>
            <w:tcMar>
              <w:left w:w="57" w:type="dxa"/>
              <w:right w:w="57" w:type="dxa"/>
            </w:tcMar>
            <w:vAlign w:val="center"/>
          </w:tcPr>
          <w:p w14:paraId="4D593CC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92" w:type="dxa"/>
            <w:tcBorders>
              <w:top w:val="nil"/>
              <w:left w:val="nil"/>
              <w:bottom w:val="single" w:color="auto" w:sz="8" w:space="0"/>
              <w:right w:val="single" w:color="auto" w:sz="8" w:space="0"/>
            </w:tcBorders>
            <w:tcMar>
              <w:left w:w="57" w:type="dxa"/>
              <w:right w:w="57" w:type="dxa"/>
            </w:tcMar>
          </w:tcPr>
          <w:p w14:paraId="75FC25EA">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bl>
    <w:p w14:paraId="6EC43CC1">
      <w:pPr>
        <w:widowControl/>
        <w:shd w:val="clear" w:color="auto" w:fill="FFFFFF"/>
        <w:spacing w:line="578" w:lineRule="exact"/>
        <w:ind w:firstLine="420"/>
        <w:rPr>
          <w:rFonts w:ascii="黑体" w:hAnsi="黑体" w:eastAsia="黑体" w:cs="黑体"/>
          <w:color w:val="333333"/>
          <w:kern w:val="0"/>
          <w:sz w:val="32"/>
          <w:szCs w:val="32"/>
        </w:rPr>
      </w:pPr>
      <w:r>
        <w:rPr>
          <w:rFonts w:hint="eastAsia" w:ascii="黑体" w:hAnsi="黑体" w:eastAsia="黑体" w:cs="黑体"/>
          <w:color w:val="333333"/>
          <w:kern w:val="0"/>
          <w:sz w:val="32"/>
          <w:szCs w:val="32"/>
          <w:shd w:val="clear" w:color="auto" w:fill="FFFFFF"/>
        </w:rPr>
        <w:t>四、政府信息公开行政复议、行政诉讼情况</w:t>
      </w:r>
    </w:p>
    <w:tbl>
      <w:tblPr>
        <w:tblStyle w:val="4"/>
        <w:tblW w:w="7799"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autofit"/>
        <w:tblCellMar>
          <w:top w:w="0" w:type="dxa"/>
          <w:left w:w="0" w:type="dxa"/>
          <w:bottom w:w="0" w:type="dxa"/>
          <w:right w:w="0" w:type="dxa"/>
        </w:tblCellMar>
      </w:tblPr>
      <w:tblGrid>
        <w:gridCol w:w="519"/>
        <w:gridCol w:w="519"/>
        <w:gridCol w:w="519"/>
        <w:gridCol w:w="519"/>
        <w:gridCol w:w="520"/>
        <w:gridCol w:w="519"/>
        <w:gridCol w:w="519"/>
        <w:gridCol w:w="520"/>
        <w:gridCol w:w="520"/>
        <w:gridCol w:w="520"/>
        <w:gridCol w:w="520"/>
        <w:gridCol w:w="520"/>
        <w:gridCol w:w="520"/>
        <w:gridCol w:w="520"/>
        <w:gridCol w:w="525"/>
      </w:tblGrid>
      <w:tr w14:paraId="0F5C62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2596"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0DD502F">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行政复议</w:t>
            </w:r>
          </w:p>
        </w:tc>
        <w:tc>
          <w:tcPr>
            <w:tcW w:w="52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DB5AC7D">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行政诉讼</w:t>
            </w:r>
          </w:p>
        </w:tc>
      </w:tr>
      <w:tr w14:paraId="5FADD59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51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477DD2B2">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结果维持</w:t>
            </w:r>
          </w:p>
        </w:tc>
        <w:tc>
          <w:tcPr>
            <w:tcW w:w="519" w:type="dxa"/>
            <w:vMerge w:val="restart"/>
            <w:tcBorders>
              <w:top w:val="nil"/>
              <w:left w:val="single" w:color="auto" w:sz="8" w:space="0"/>
              <w:bottom w:val="single" w:color="auto" w:sz="8" w:space="0"/>
              <w:right w:val="single" w:color="auto" w:sz="8" w:space="0"/>
            </w:tcBorders>
            <w:tcMar>
              <w:left w:w="108" w:type="dxa"/>
              <w:right w:w="108" w:type="dxa"/>
            </w:tcMar>
            <w:vAlign w:val="center"/>
          </w:tcPr>
          <w:p w14:paraId="17D4C7D0">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23E619F6">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纠正</w:t>
            </w:r>
          </w:p>
        </w:tc>
        <w:tc>
          <w:tcPr>
            <w:tcW w:w="51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C18E69C">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628703EA">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结果</w:t>
            </w:r>
          </w:p>
        </w:tc>
        <w:tc>
          <w:tcPr>
            <w:tcW w:w="51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5A3BCED">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1D725913">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审结</w:t>
            </w:r>
          </w:p>
        </w:tc>
        <w:tc>
          <w:tcPr>
            <w:tcW w:w="520"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36E0E27">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总计</w:t>
            </w:r>
          </w:p>
        </w:tc>
        <w:tc>
          <w:tcPr>
            <w:tcW w:w="259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7020C7F">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未经复议直接起诉</w:t>
            </w:r>
          </w:p>
        </w:tc>
        <w:tc>
          <w:tcPr>
            <w:tcW w:w="260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2BBAECD">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复议后起诉</w:t>
            </w:r>
          </w:p>
        </w:tc>
      </w:tr>
      <w:tr w14:paraId="53DCBC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0" w:hRule="atLeast"/>
          <w:jc w:val="center"/>
        </w:trPr>
        <w:tc>
          <w:tcPr>
            <w:tcW w:w="51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01F61E53">
            <w:pPr>
              <w:rPr>
                <w:rFonts w:ascii="宋体" w:hAnsi="Times New Roman" w:eastAsia="宋体" w:cs="Times New Roman"/>
                <w:sz w:val="24"/>
                <w:szCs w:val="24"/>
              </w:rPr>
            </w:pPr>
          </w:p>
        </w:tc>
        <w:tc>
          <w:tcPr>
            <w:tcW w:w="519" w:type="dxa"/>
            <w:vMerge w:val="continue"/>
            <w:tcBorders>
              <w:top w:val="nil"/>
              <w:left w:val="single" w:color="auto" w:sz="8" w:space="0"/>
              <w:bottom w:val="single" w:color="auto" w:sz="8" w:space="0"/>
              <w:right w:val="single" w:color="auto" w:sz="8" w:space="0"/>
            </w:tcBorders>
            <w:tcMar>
              <w:left w:w="108" w:type="dxa"/>
              <w:right w:w="108" w:type="dxa"/>
            </w:tcMar>
            <w:vAlign w:val="center"/>
          </w:tcPr>
          <w:p w14:paraId="7C31B03E">
            <w:pPr>
              <w:rPr>
                <w:rFonts w:ascii="宋体" w:hAnsi="Times New Roman" w:eastAsia="宋体" w:cs="Times New Roman"/>
                <w:sz w:val="24"/>
                <w:szCs w:val="24"/>
              </w:rPr>
            </w:pPr>
          </w:p>
        </w:tc>
        <w:tc>
          <w:tcPr>
            <w:tcW w:w="51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4451CE7F">
            <w:pPr>
              <w:rPr>
                <w:rFonts w:ascii="宋体" w:hAnsi="Times New Roman" w:eastAsia="宋体" w:cs="Times New Roman"/>
                <w:sz w:val="24"/>
                <w:szCs w:val="24"/>
              </w:rPr>
            </w:pPr>
          </w:p>
        </w:tc>
        <w:tc>
          <w:tcPr>
            <w:tcW w:w="51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2493329">
            <w:pPr>
              <w:rPr>
                <w:rFonts w:ascii="宋体" w:hAnsi="Times New Roman" w:eastAsia="宋体" w:cs="Times New Roman"/>
                <w:sz w:val="24"/>
                <w:szCs w:val="24"/>
              </w:rPr>
            </w:pPr>
          </w:p>
        </w:tc>
        <w:tc>
          <w:tcPr>
            <w:tcW w:w="520"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E496166">
            <w:pPr>
              <w:rPr>
                <w:rFonts w:ascii="宋体" w:hAnsi="Times New Roman" w:eastAsia="宋体" w:cs="Times New Roman"/>
                <w:sz w:val="24"/>
                <w:szCs w:val="24"/>
              </w:rPr>
            </w:pP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2A402A9E">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70DFED61">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维持</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1C3D326E">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17A3BE69">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纠正</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744E09AB">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其他</w:t>
            </w:r>
          </w:p>
          <w:p w14:paraId="5BF4D8D0">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结果</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5E373AB6">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4316EC79">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审结</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36E4F264">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总计</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7E879CF">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1409CCE6">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维持</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D902B2C">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结果</w:t>
            </w:r>
          </w:p>
          <w:p w14:paraId="21BFAA68">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纠正</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BE5B2F5">
            <w:pPr>
              <w:widowControl/>
              <w:jc w:val="center"/>
              <w:rPr>
                <w:rFonts w:ascii="宋体" w:hAnsi="宋体" w:eastAsia="宋体" w:cs="宋体"/>
                <w:color w:val="000000"/>
                <w:kern w:val="0"/>
                <w:sz w:val="20"/>
                <w:szCs w:val="20"/>
                <w:lang w:bidi="ar"/>
              </w:rPr>
            </w:pPr>
            <w:r>
              <w:rPr>
                <w:rFonts w:hint="eastAsia" w:ascii="宋体" w:hAnsi="宋体" w:eastAsia="宋体" w:cs="宋体"/>
                <w:color w:val="000000"/>
                <w:kern w:val="0"/>
                <w:sz w:val="20"/>
                <w:szCs w:val="20"/>
                <w:lang w:bidi="ar"/>
              </w:rPr>
              <w:t>其他</w:t>
            </w:r>
          </w:p>
          <w:p w14:paraId="5EAC2D8D">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结果</w:t>
            </w:r>
          </w:p>
        </w:tc>
        <w:tc>
          <w:tcPr>
            <w:tcW w:w="52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64ECDD37">
            <w:pPr>
              <w:widowControl/>
              <w:jc w:val="center"/>
              <w:rPr>
                <w:rFonts w:ascii="宋体" w:hAnsi="宋体" w:eastAsia="宋体" w:cs="宋体"/>
                <w:kern w:val="0"/>
                <w:sz w:val="20"/>
                <w:szCs w:val="20"/>
                <w:lang w:bidi="ar"/>
              </w:rPr>
            </w:pPr>
            <w:r>
              <w:rPr>
                <w:rFonts w:hint="eastAsia" w:ascii="宋体" w:hAnsi="宋体" w:eastAsia="宋体" w:cs="宋体"/>
                <w:kern w:val="0"/>
                <w:sz w:val="20"/>
                <w:szCs w:val="20"/>
                <w:lang w:bidi="ar"/>
              </w:rPr>
              <w:t>尚未</w:t>
            </w:r>
          </w:p>
          <w:p w14:paraId="2C3A7CEE">
            <w:pPr>
              <w:widowControl/>
              <w:jc w:val="center"/>
              <w:rPr>
                <w:rFonts w:ascii="Times New Roman" w:hAnsi="Times New Roman" w:eastAsia="宋体" w:cs="Times New Roman"/>
                <w:szCs w:val="24"/>
              </w:rPr>
            </w:pPr>
            <w:r>
              <w:rPr>
                <w:rFonts w:hint="eastAsia" w:ascii="宋体" w:hAnsi="宋体" w:eastAsia="宋体" w:cs="宋体"/>
                <w:kern w:val="0"/>
                <w:sz w:val="20"/>
                <w:szCs w:val="20"/>
                <w:lang w:bidi="ar"/>
              </w:rPr>
              <w:t>审结</w:t>
            </w:r>
          </w:p>
        </w:tc>
        <w:tc>
          <w:tcPr>
            <w:tcW w:w="525"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14:paraId="22944525">
            <w:pPr>
              <w:widowControl/>
              <w:jc w:val="center"/>
              <w:rPr>
                <w:rFonts w:ascii="Times New Roman" w:hAnsi="Times New Roman" w:eastAsia="宋体" w:cs="Times New Roman"/>
                <w:szCs w:val="24"/>
              </w:rPr>
            </w:pPr>
            <w:r>
              <w:rPr>
                <w:rFonts w:hint="eastAsia" w:ascii="宋体" w:hAnsi="宋体" w:eastAsia="宋体" w:cs="宋体"/>
                <w:color w:val="000000"/>
                <w:kern w:val="0"/>
                <w:sz w:val="20"/>
                <w:szCs w:val="20"/>
                <w:lang w:bidi="ar"/>
              </w:rPr>
              <w:t>总计</w:t>
            </w:r>
          </w:p>
        </w:tc>
      </w:tr>
      <w:tr w14:paraId="350677E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8" w:hRule="atLeast"/>
          <w:jc w:val="center"/>
        </w:trPr>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20F87FB2">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 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1919A3BD">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6963A1B9">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134B801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2F589DF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07ED20C8">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19" w:type="dxa"/>
            <w:tcBorders>
              <w:top w:val="nil"/>
              <w:left w:val="single" w:color="auto" w:sz="8" w:space="0"/>
              <w:bottom w:val="single" w:color="auto" w:sz="8" w:space="0"/>
              <w:right w:val="single" w:color="auto" w:sz="8" w:space="0"/>
            </w:tcBorders>
            <w:tcMar>
              <w:left w:w="108" w:type="dxa"/>
              <w:right w:w="108" w:type="dxa"/>
            </w:tcMar>
            <w:vAlign w:val="center"/>
          </w:tcPr>
          <w:p w14:paraId="6091B76F">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589D6911">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4F5BAB54">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11F20568">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25E45AE7">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68F8409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7D6833D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0" w:type="dxa"/>
            <w:tcBorders>
              <w:top w:val="nil"/>
              <w:left w:val="single" w:color="auto" w:sz="8" w:space="0"/>
              <w:bottom w:val="single" w:color="auto" w:sz="8" w:space="0"/>
              <w:right w:val="single" w:color="auto" w:sz="8" w:space="0"/>
            </w:tcBorders>
            <w:tcMar>
              <w:left w:w="108" w:type="dxa"/>
              <w:right w:w="108" w:type="dxa"/>
            </w:tcMar>
            <w:vAlign w:val="center"/>
          </w:tcPr>
          <w:p w14:paraId="797CA74B">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c>
          <w:tcPr>
            <w:tcW w:w="525" w:type="dxa"/>
            <w:tcBorders>
              <w:top w:val="nil"/>
              <w:left w:val="single" w:color="auto" w:sz="8" w:space="0"/>
              <w:bottom w:val="single" w:color="auto" w:sz="8" w:space="0"/>
              <w:right w:val="single" w:color="auto" w:sz="8" w:space="0"/>
            </w:tcBorders>
            <w:tcMar>
              <w:left w:w="108" w:type="dxa"/>
              <w:right w:w="108" w:type="dxa"/>
            </w:tcMar>
            <w:vAlign w:val="center"/>
          </w:tcPr>
          <w:p w14:paraId="134DA1E3">
            <w:pPr>
              <w:jc w:val="center"/>
              <w:rPr>
                <w:rFonts w:hint="eastAsia" w:ascii="Times New Roman" w:hAnsi="Times New Roman" w:eastAsia="宋体" w:cs="Times New Roman"/>
                <w:color w:val="000000"/>
                <w:kern w:val="0"/>
                <w:sz w:val="20"/>
                <w:szCs w:val="20"/>
                <w:lang w:bidi="ar"/>
              </w:rPr>
            </w:pPr>
            <w:r>
              <w:rPr>
                <w:rFonts w:hint="eastAsia" w:ascii="Times New Roman" w:hAnsi="Times New Roman" w:eastAsia="宋体" w:cs="Times New Roman"/>
                <w:color w:val="000000"/>
                <w:kern w:val="0"/>
                <w:sz w:val="20"/>
                <w:szCs w:val="20"/>
                <w:lang w:bidi="ar"/>
              </w:rPr>
              <w:t>0</w:t>
            </w:r>
          </w:p>
        </w:tc>
      </w:tr>
    </w:tbl>
    <w:p w14:paraId="1339FFE4">
      <w:pPr>
        <w:widowControl/>
        <w:shd w:val="clear" w:color="auto" w:fill="FFFFFF"/>
        <w:spacing w:line="578" w:lineRule="exact"/>
        <w:ind w:firstLine="42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五、存在的主要问题及改进情况</w:t>
      </w:r>
    </w:p>
    <w:p w14:paraId="445AB587">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2023年度我局政务公开主要存在以下两个方面的问题：</w:t>
      </w:r>
      <w:r>
        <w:rPr>
          <w:rFonts w:ascii="Times New Roman" w:hAnsi="Times New Roman" w:eastAsia="方正仿宋_GBK" w:cs="Times New Roman"/>
          <w:b/>
          <w:bCs/>
          <w:color w:val="333333"/>
          <w:kern w:val="0"/>
          <w:sz w:val="32"/>
          <w:szCs w:val="32"/>
        </w:rPr>
        <w:t>一是</w:t>
      </w:r>
      <w:r>
        <w:rPr>
          <w:rFonts w:ascii="Times New Roman" w:hAnsi="Times New Roman" w:eastAsia="方正仿宋_GBK" w:cs="Times New Roman"/>
          <w:color w:val="333333"/>
          <w:kern w:val="0"/>
          <w:sz w:val="32"/>
          <w:szCs w:val="32"/>
        </w:rPr>
        <w:t>信息公开形式单一，目前主要以网站信息公开及政务大厅依申请公开为主，线下政策咨询窗口建设需要进一步完善。</w:t>
      </w:r>
      <w:r>
        <w:rPr>
          <w:rFonts w:ascii="Times New Roman" w:hAnsi="Times New Roman" w:eastAsia="方正仿宋_GBK" w:cs="Times New Roman"/>
          <w:b/>
          <w:bCs/>
          <w:color w:val="333333"/>
          <w:kern w:val="0"/>
          <w:sz w:val="32"/>
          <w:szCs w:val="32"/>
        </w:rPr>
        <w:t>二是</w:t>
      </w:r>
      <w:r>
        <w:rPr>
          <w:rFonts w:ascii="Times New Roman" w:hAnsi="Times New Roman" w:eastAsia="方正仿宋_GBK" w:cs="Times New Roman"/>
          <w:color w:val="333333"/>
          <w:kern w:val="0"/>
          <w:sz w:val="32"/>
          <w:szCs w:val="32"/>
        </w:rPr>
        <w:t>信息发布质量不高，主要以机关动态为主，对县区工作成果宣传力度不足，部分政策解读的内容过于专业化、书面化，需要持续打磨润色。</w:t>
      </w:r>
    </w:p>
    <w:p w14:paraId="7C39A947">
      <w:pPr>
        <w:keepNext w:val="0"/>
        <w:keepLines w:val="0"/>
        <w:pageBreakBefore w:val="0"/>
        <w:widowControl/>
        <w:shd w:val="clear" w:color="auto" w:fill="FFFFFF"/>
        <w:kinsoku/>
        <w:wordWrap/>
        <w:overflowPunct/>
        <w:topLinePunct w:val="0"/>
        <w:autoSpaceDE/>
        <w:autoSpaceDN/>
        <w:bidi w:val="0"/>
        <w:adjustRightInd/>
        <w:snapToGrid/>
        <w:spacing w:line="578" w:lineRule="exact"/>
        <w:ind w:firstLine="640" w:firstLineChars="200"/>
        <w:textAlignment w:val="auto"/>
        <w:rPr>
          <w:rFonts w:ascii="Times New Roman" w:hAnsi="Times New Roman" w:eastAsia="方正仿宋_GBK" w:cs="Times New Roman"/>
          <w:color w:val="333333"/>
          <w:kern w:val="0"/>
          <w:sz w:val="32"/>
          <w:szCs w:val="32"/>
        </w:rPr>
      </w:pPr>
      <w:r>
        <w:rPr>
          <w:rFonts w:ascii="Times New Roman" w:hAnsi="Times New Roman" w:eastAsia="方正仿宋_GBK" w:cs="Times New Roman"/>
          <w:color w:val="333333"/>
          <w:kern w:val="0"/>
          <w:sz w:val="32"/>
          <w:szCs w:val="32"/>
        </w:rPr>
        <w:t>下一步，我局将在市委市政</w:t>
      </w:r>
      <w:r>
        <w:rPr>
          <w:rFonts w:hint="eastAsia" w:ascii="Times New Roman" w:hAnsi="Times New Roman" w:eastAsia="方正仿宋_GBK" w:cs="Times New Roman"/>
          <w:color w:val="333333"/>
          <w:kern w:val="0"/>
          <w:sz w:val="32"/>
          <w:szCs w:val="32"/>
          <w:lang w:eastAsia="zh-CN"/>
        </w:rPr>
        <w:t>府</w:t>
      </w:r>
      <w:r>
        <w:rPr>
          <w:rFonts w:ascii="Times New Roman" w:hAnsi="Times New Roman" w:eastAsia="方正仿宋_GBK" w:cs="Times New Roman"/>
          <w:color w:val="333333"/>
          <w:kern w:val="0"/>
          <w:sz w:val="32"/>
          <w:szCs w:val="32"/>
        </w:rPr>
        <w:t>的领导下，做</w:t>
      </w:r>
      <w:bookmarkStart w:id="0" w:name="_GoBack"/>
      <w:bookmarkEnd w:id="0"/>
      <w:r>
        <w:rPr>
          <w:rFonts w:ascii="Times New Roman" w:hAnsi="Times New Roman" w:eastAsia="方正仿宋_GBK" w:cs="Times New Roman"/>
          <w:color w:val="333333"/>
          <w:kern w:val="0"/>
          <w:sz w:val="32"/>
          <w:szCs w:val="32"/>
        </w:rPr>
        <w:t>好以下几个方面的工作：</w:t>
      </w:r>
      <w:r>
        <w:rPr>
          <w:rFonts w:ascii="Times New Roman" w:hAnsi="Times New Roman" w:eastAsia="方正仿宋_GBK" w:cs="Times New Roman"/>
          <w:b/>
          <w:bCs/>
          <w:color w:val="333333"/>
          <w:kern w:val="0"/>
          <w:sz w:val="32"/>
          <w:szCs w:val="32"/>
        </w:rPr>
        <w:t>一是</w:t>
      </w:r>
      <w:r>
        <w:rPr>
          <w:rFonts w:ascii="Times New Roman" w:hAnsi="Times New Roman" w:eastAsia="方正仿宋_GBK" w:cs="Times New Roman"/>
          <w:color w:val="333333"/>
          <w:kern w:val="0"/>
          <w:sz w:val="32"/>
          <w:szCs w:val="32"/>
        </w:rPr>
        <w:t>优化政策咨询窗口建设，加强信息传递渠道建设，畅通政策传导机制，丰富政策解读形式，加强沟通互动，进一步落实惠民利企政策。</w:t>
      </w:r>
      <w:r>
        <w:rPr>
          <w:rFonts w:ascii="Times New Roman" w:hAnsi="Times New Roman" w:eastAsia="方正仿宋_GBK" w:cs="Times New Roman"/>
          <w:b/>
          <w:bCs/>
          <w:color w:val="333333"/>
          <w:kern w:val="0"/>
          <w:sz w:val="32"/>
          <w:szCs w:val="32"/>
        </w:rPr>
        <w:t>二是</w:t>
      </w:r>
      <w:r>
        <w:rPr>
          <w:rFonts w:ascii="Times New Roman" w:hAnsi="Times New Roman" w:eastAsia="方正仿宋_GBK" w:cs="Times New Roman"/>
          <w:color w:val="333333"/>
          <w:kern w:val="0"/>
          <w:sz w:val="32"/>
          <w:szCs w:val="32"/>
        </w:rPr>
        <w:t>优选政务信息，规范信息内容把关，提高信息可读性，举办信息工作培训班，加强信息员队伍建设，拓展信息公开广度、深度。</w:t>
      </w:r>
    </w:p>
    <w:p w14:paraId="6CEB1DB4">
      <w:pPr>
        <w:widowControl/>
        <w:shd w:val="clear" w:color="auto" w:fill="FFFFFF"/>
        <w:spacing w:line="578" w:lineRule="exact"/>
        <w:ind w:firstLine="420"/>
        <w:rPr>
          <w:rFonts w:ascii="黑体" w:hAnsi="黑体" w:eastAsia="黑体" w:cs="黑体"/>
          <w:color w:val="333333"/>
          <w:kern w:val="0"/>
          <w:sz w:val="32"/>
          <w:szCs w:val="32"/>
          <w:shd w:val="clear" w:color="auto" w:fill="FFFFFF"/>
        </w:rPr>
      </w:pPr>
      <w:r>
        <w:rPr>
          <w:rFonts w:hint="eastAsia" w:ascii="黑体" w:hAnsi="黑体" w:eastAsia="黑体" w:cs="黑体"/>
          <w:color w:val="333333"/>
          <w:kern w:val="0"/>
          <w:sz w:val="32"/>
          <w:szCs w:val="32"/>
          <w:shd w:val="clear" w:color="auto" w:fill="FFFFFF"/>
        </w:rPr>
        <w:t>六、其他需要报告的事项</w:t>
      </w:r>
    </w:p>
    <w:p w14:paraId="4D9200B4">
      <w:pPr>
        <w:spacing w:line="578" w:lineRule="exact"/>
        <w:ind w:firstLine="640" w:firstLineChars="200"/>
        <w:rPr>
          <w:rFonts w:ascii="Times New Roman" w:hAnsi="Times New Roman" w:eastAsia="方正仿宋_GBK" w:cs="Times New Roman"/>
          <w:sz w:val="32"/>
          <w:szCs w:val="32"/>
        </w:rPr>
      </w:pPr>
      <w:r>
        <w:rPr>
          <w:rFonts w:ascii="Times New Roman" w:hAnsi="Times New Roman" w:eastAsia="方正仿宋_GBK" w:cs="Times New Roman"/>
          <w:sz w:val="32"/>
          <w:szCs w:val="32"/>
        </w:rPr>
        <w:t>按照《国务院办公厅关于印发〈政府信息公开信息处理费管理办法〉的通知》（国办函〔2020〕109号）规定的按件、按量收费标准，本年度没有产生信息公开处理费。</w:t>
      </w:r>
    </w:p>
    <w:p w14:paraId="7C53BCE1">
      <w:pPr>
        <w:wordWrap w:val="0"/>
        <w:spacing w:line="580" w:lineRule="exact"/>
        <w:ind w:right="356" w:firstLine="640" w:firstLineChars="200"/>
        <w:jc w:val="center"/>
        <w:rPr>
          <w:rFonts w:ascii="仿宋_GB2312" w:hAnsi="仿宋_GB2312" w:eastAsia="仿宋_GB2312" w:cs="仿宋_GB2312"/>
          <w:sz w:val="32"/>
          <w:szCs w:val="32"/>
        </w:rPr>
      </w:pPr>
    </w:p>
    <w:p w14:paraId="0F2BE46F">
      <w:pPr>
        <w:wordWrap w:val="0"/>
        <w:spacing w:line="580" w:lineRule="exact"/>
        <w:ind w:right="356" w:firstLine="640" w:firstLineChars="200"/>
        <w:jc w:val="center"/>
        <w:rPr>
          <w:rFonts w:ascii="仿宋_GB2312" w:hAnsi="仿宋_GB2312" w:eastAsia="仿宋_GB2312" w:cs="仿宋_GB2312"/>
          <w:sz w:val="32"/>
          <w:szCs w:val="32"/>
        </w:rPr>
      </w:pPr>
    </w:p>
    <w:p w14:paraId="22DEA431">
      <w:pPr>
        <w:wordWrap w:val="0"/>
        <w:spacing w:line="580" w:lineRule="exact"/>
        <w:ind w:right="356" w:firstLine="640" w:firstLineChars="200"/>
        <w:jc w:val="center"/>
        <w:rPr>
          <w:rFonts w:ascii="仿宋_GB2312" w:hAnsi="仿宋_GB2312" w:eastAsia="仿宋_GB2312" w:cs="仿宋_GB2312"/>
          <w:sz w:val="32"/>
          <w:szCs w:val="32"/>
        </w:rPr>
      </w:pPr>
    </w:p>
    <w:p w14:paraId="08888C1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bordersDoNotSurroundHeader w:val="1"/>
  <w:bordersDoNotSurroundFooter w:val="1"/>
  <w:documentProtection w:edit="readOnly" w:formatting="1" w:enforcement="1" w:cryptProviderType="rsaFull" w:cryptAlgorithmClass="hash" w:cryptAlgorithmType="typeAny" w:cryptAlgorithmSid="4" w:cryptSpinCount="0" w:hash="sq/f3MgZZlEpKMshHx8l/CaNjk8=" w:salt="giCBranaS74h0pcr14J2KA=="/>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ViNWE0ZTY1MTJhYTBkZTBkOGM5NGFkMDk1MmJkOWEifQ=="/>
  </w:docVars>
  <w:rsids>
    <w:rsidRoot w:val="00F31A06"/>
    <w:rsid w:val="0009653E"/>
    <w:rsid w:val="000E4F7C"/>
    <w:rsid w:val="001C6DFF"/>
    <w:rsid w:val="00206558"/>
    <w:rsid w:val="00355309"/>
    <w:rsid w:val="00360E1E"/>
    <w:rsid w:val="003610EA"/>
    <w:rsid w:val="003A7F35"/>
    <w:rsid w:val="00472DD9"/>
    <w:rsid w:val="00530A55"/>
    <w:rsid w:val="00592ACD"/>
    <w:rsid w:val="0060088D"/>
    <w:rsid w:val="006277F0"/>
    <w:rsid w:val="006A16D3"/>
    <w:rsid w:val="00720A3F"/>
    <w:rsid w:val="00733EA3"/>
    <w:rsid w:val="00747018"/>
    <w:rsid w:val="0078436C"/>
    <w:rsid w:val="007C6F6D"/>
    <w:rsid w:val="007D6EBB"/>
    <w:rsid w:val="007E49E9"/>
    <w:rsid w:val="008552A0"/>
    <w:rsid w:val="008B35D1"/>
    <w:rsid w:val="008C2147"/>
    <w:rsid w:val="008E5F34"/>
    <w:rsid w:val="00965139"/>
    <w:rsid w:val="0097415A"/>
    <w:rsid w:val="00A43A6F"/>
    <w:rsid w:val="00AD4265"/>
    <w:rsid w:val="00B001C9"/>
    <w:rsid w:val="00B44FE0"/>
    <w:rsid w:val="00C44F94"/>
    <w:rsid w:val="00CB6BFB"/>
    <w:rsid w:val="00CF4CA5"/>
    <w:rsid w:val="00D127E0"/>
    <w:rsid w:val="00D36C19"/>
    <w:rsid w:val="00D766BB"/>
    <w:rsid w:val="00DC368E"/>
    <w:rsid w:val="00DE0C76"/>
    <w:rsid w:val="00E578D3"/>
    <w:rsid w:val="00F01032"/>
    <w:rsid w:val="00F31A06"/>
    <w:rsid w:val="00F559F1"/>
    <w:rsid w:val="00F85A90"/>
    <w:rsid w:val="00FC1F66"/>
    <w:rsid w:val="06AF5B76"/>
    <w:rsid w:val="23267D67"/>
    <w:rsid w:val="249B19F3"/>
    <w:rsid w:val="560F4204"/>
    <w:rsid w:val="585D736D"/>
    <w:rsid w:val="5BC0674D"/>
    <w:rsid w:val="62EE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7"/>
    <w:autoRedefine/>
    <w:unhideWhenUsed/>
    <w:qFormat/>
    <w:uiPriority w:val="99"/>
    <w:pPr>
      <w:tabs>
        <w:tab w:val="center" w:pos="4153"/>
        <w:tab w:val="right" w:pos="8306"/>
      </w:tabs>
      <w:snapToGrid w:val="0"/>
      <w:jc w:val="left"/>
    </w:pPr>
    <w:rPr>
      <w:sz w:val="18"/>
      <w:szCs w:val="18"/>
    </w:rPr>
  </w:style>
  <w:style w:type="paragraph" w:styleId="3">
    <w:name w:val="header"/>
    <w:basedOn w:val="1"/>
    <w:link w:val="6"/>
    <w:autoRedefine/>
    <w:unhideWhenUsed/>
    <w:qFormat/>
    <w:uiPriority w:val="99"/>
    <w:pPr>
      <w:tabs>
        <w:tab w:val="center" w:pos="4153"/>
        <w:tab w:val="right" w:pos="8306"/>
      </w:tabs>
      <w:snapToGrid w:val="0"/>
      <w:jc w:val="center"/>
    </w:pPr>
    <w:rPr>
      <w:sz w:val="18"/>
      <w:szCs w:val="18"/>
    </w:rPr>
  </w:style>
  <w:style w:type="character" w:customStyle="1" w:styleId="6">
    <w:name w:val="页眉 字符"/>
    <w:basedOn w:val="5"/>
    <w:link w:val="3"/>
    <w:autoRedefine/>
    <w:qFormat/>
    <w:uiPriority w:val="99"/>
    <w:rPr>
      <w:sz w:val="18"/>
      <w:szCs w:val="18"/>
    </w:rPr>
  </w:style>
  <w:style w:type="character" w:customStyle="1" w:styleId="7">
    <w:name w:val="页脚 字符"/>
    <w:basedOn w:val="5"/>
    <w:link w:val="2"/>
    <w:autoRedefine/>
    <w:qFormat/>
    <w:uiPriority w:val="99"/>
    <w:rPr>
      <w:sz w:val="18"/>
      <w:szCs w:val="18"/>
    </w:rPr>
  </w:style>
  <w:style w:type="paragraph" w:styleId="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AEACE"/>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2067</Words>
  <Characters>2169</Characters>
  <Lines>21</Lines>
  <Paragraphs>5</Paragraphs>
  <TotalTime>6</TotalTime>
  <ScaleCrop>false</ScaleCrop>
  <LinksUpToDate>false</LinksUpToDate>
  <CharactersWithSpaces>2184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2024-01-25T02:11:00Z</dcterms:created>
  <dc:creator>璇 刘</dc:creator>
  <cp:lastModifiedBy>永不动机</cp:lastModifiedBy>
  <dcterms:modified xsi:type="dcterms:W3CDTF">2025-01-15T07:10:21Z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5C8B41795033408EBAE19CDB74783D81_12</vt:lpwstr>
  </property>
  <property fmtid="{D5CDD505-2E9C-101B-9397-08002B2CF9AE}" pid="4" name="KSOTemplateDocerSaveRecord">
    <vt:lpwstr>eyJoZGlkIjoiY2ViNWE0ZTY1MTJhYTBkZTBkOGM5NGFkMDk1MmJkOWEiLCJ1c2VySWQiOiIxNDMzODIzMTc2In0=</vt:lpwstr>
  </property>
</Properties>
</file>