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F6F7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lang w:val="en-US" w:eastAsia="zh-CN"/>
        </w:rPr>
      </w:pPr>
    </w:p>
    <w:p w14:paraId="121C0F7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color w:val="auto"/>
          <w:sz w:val="44"/>
          <w:szCs w:val="44"/>
          <w:lang w:val="en-US" w:eastAsia="zh-CN"/>
        </w:rPr>
      </w:pPr>
      <w:r>
        <w:rPr>
          <w:rFonts w:hint="eastAsia" w:ascii="Times New Roman" w:hAnsi="Times New Roman" w:eastAsia="方正小标宋_GBK" w:cs="方正小标宋_GBK"/>
          <w:color w:val="auto"/>
          <w:sz w:val="44"/>
          <w:szCs w:val="44"/>
          <w:lang w:val="en-US" w:eastAsia="zh-CN"/>
        </w:rPr>
        <w:t>淮南市数据资源管理局2024年政府信息公开</w:t>
      </w:r>
    </w:p>
    <w:p w14:paraId="70EFA35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color w:val="auto"/>
          <w:sz w:val="44"/>
          <w:szCs w:val="44"/>
          <w:lang w:val="en-US" w:eastAsia="zh-CN"/>
        </w:rPr>
      </w:pPr>
      <w:r>
        <w:rPr>
          <w:rFonts w:hint="eastAsia" w:ascii="Times New Roman" w:hAnsi="Times New Roman" w:eastAsia="方正小标宋_GBK" w:cs="方正小标宋_GBK"/>
          <w:color w:val="auto"/>
          <w:sz w:val="44"/>
          <w:szCs w:val="44"/>
          <w:lang w:val="en-US" w:eastAsia="zh-CN"/>
        </w:rPr>
        <w:t>工作年度报告</w:t>
      </w:r>
    </w:p>
    <w:p w14:paraId="02D2742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lang w:val="en-US" w:eastAsia="zh-CN"/>
        </w:rPr>
      </w:pPr>
    </w:p>
    <w:p w14:paraId="105735E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本报告是依据《中华人民共和国政府信息公开条例》（国务院令第711号，以下简称《条例》）、《国务院办公厅政府信息与政务公开办公室关于印发&lt;中华人民共和国政府信息公开工作年度报告格式&gt;的通知》（国办公开办函〔2021〕30号）要求，结合淮南市数据资源管理局政府信息公开工作开展情况和有关统计数据编制而成。全文包括：总体情况、主动公开政府信息情况、收到和处理政府信息公开申请情况、政府信息公开行政复议行政诉讼情况、存在的主要问题及改进情况、其他需要报告的事项。本年度报告中使用数据统计期限为202</w:t>
      </w:r>
      <w:r>
        <w:rPr>
          <w:rFonts w:hint="eastAsia" w:ascii="Times New Roman" w:hAnsi="Times New Roman" w:eastAsia="方正仿宋_GBK" w:cs="方正仿宋_GBK"/>
          <w:color w:val="auto"/>
          <w:sz w:val="32"/>
          <w:szCs w:val="32"/>
          <w:lang w:val="en-US" w:eastAsia="zh-CN"/>
        </w:rPr>
        <w:t>4</w:t>
      </w:r>
      <w:r>
        <w:rPr>
          <w:rFonts w:hint="eastAsia" w:ascii="Times New Roman" w:hAnsi="Times New Roman" w:eastAsia="方正仿宋_GBK" w:cs="方正仿宋_GBK"/>
          <w:color w:val="auto"/>
          <w:sz w:val="32"/>
          <w:szCs w:val="32"/>
        </w:rPr>
        <w:t>年1月1日至12月31日。本年度报告的电子版可在淮南市数据资源管理局网站（sjzyj.huainan.gov.cn）下载。如对本报告有任何疑问，请与淮南市数据资源管理局办公室联系（地址：淮南市山南新区政务中心G座</w:t>
      </w:r>
      <w:r>
        <w:rPr>
          <w:rFonts w:hint="eastAsia" w:ascii="Times New Roman" w:hAnsi="Times New Roman" w:eastAsia="方正仿宋_GBK" w:cs="方正仿宋_GBK"/>
          <w:color w:val="auto"/>
          <w:sz w:val="32"/>
          <w:szCs w:val="32"/>
          <w:lang w:val="en-US" w:eastAsia="zh-CN"/>
        </w:rPr>
        <w:t>4楼</w:t>
      </w:r>
      <w:r>
        <w:rPr>
          <w:rFonts w:hint="eastAsia" w:ascii="Times New Roman" w:hAnsi="Times New Roman" w:eastAsia="方正仿宋_GBK" w:cs="方正仿宋_GBK"/>
          <w:color w:val="auto"/>
          <w:sz w:val="32"/>
          <w:szCs w:val="32"/>
        </w:rPr>
        <w:t>，邮政编码：232001，联系电话：0554-6689622、5368</w:t>
      </w:r>
      <w:r>
        <w:rPr>
          <w:rFonts w:hint="eastAsia" w:ascii="Times New Roman" w:hAnsi="Times New Roman" w:eastAsia="方正仿宋_GBK" w:cs="方正仿宋_GBK"/>
          <w:color w:val="auto"/>
          <w:sz w:val="32"/>
          <w:szCs w:val="32"/>
          <w:lang w:val="en-US" w:eastAsia="zh-CN"/>
        </w:rPr>
        <w:t>000</w:t>
      </w:r>
      <w:r>
        <w:rPr>
          <w:rFonts w:hint="eastAsia" w:ascii="Times New Roman" w:hAnsi="Times New Roman" w:eastAsia="方正仿宋_GBK" w:cs="方正仿宋_GBK"/>
          <w:color w:val="auto"/>
          <w:sz w:val="32"/>
          <w:szCs w:val="32"/>
        </w:rPr>
        <w:t>）。</w:t>
      </w:r>
    </w:p>
    <w:p w14:paraId="7C15350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一、总体情况</w:t>
      </w:r>
    </w:p>
    <w:p w14:paraId="0A88A88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市数据资源管理局按照</w:t>
      </w:r>
      <w:r>
        <w:rPr>
          <w:rFonts w:hint="eastAsia" w:ascii="Times New Roman" w:hAnsi="Times New Roman" w:eastAsia="方正仿宋_GBK" w:cs="方正仿宋_GBK"/>
          <w:color w:val="auto"/>
          <w:sz w:val="32"/>
          <w:szCs w:val="32"/>
        </w:rPr>
        <w:t>《淮南市人民政府办公室202</w:t>
      </w:r>
      <w:r>
        <w:rPr>
          <w:rFonts w:hint="eastAsia" w:ascii="Times New Roman" w:hAnsi="Times New Roman" w:eastAsia="方正仿宋_GBK" w:cs="方正仿宋_GBK"/>
          <w:color w:val="auto"/>
          <w:sz w:val="32"/>
          <w:szCs w:val="32"/>
          <w:lang w:val="en-US" w:eastAsia="zh-CN"/>
        </w:rPr>
        <w:t>4</w:t>
      </w:r>
      <w:r>
        <w:rPr>
          <w:rFonts w:hint="eastAsia" w:ascii="Times New Roman" w:hAnsi="Times New Roman" w:eastAsia="方正仿宋_GBK" w:cs="方正仿宋_GBK"/>
          <w:color w:val="auto"/>
          <w:sz w:val="32"/>
          <w:szCs w:val="32"/>
        </w:rPr>
        <w:t>年政务公开重点工作任务分工》</w:t>
      </w:r>
      <w:r>
        <w:rPr>
          <w:rFonts w:hint="eastAsia" w:ascii="Times New Roman" w:hAnsi="Times New Roman" w:eastAsia="方正仿宋_GBK" w:cs="方正仿宋_GBK"/>
          <w:color w:val="auto"/>
          <w:sz w:val="32"/>
          <w:szCs w:val="32"/>
          <w:lang w:eastAsia="zh-CN"/>
        </w:rPr>
        <w:t>要求，围绕政务服务工作，制定发布我局2024年度政务公开重点工作清单，持续优化公开内容形式。聚焦“高效办成一件事”，</w:t>
      </w:r>
      <w:r>
        <w:rPr>
          <w:rFonts w:hint="eastAsia" w:ascii="Times New Roman" w:hAnsi="Times New Roman" w:eastAsia="方正仿宋_GBK" w:cs="方正仿宋_GBK"/>
          <w:color w:val="auto"/>
          <w:sz w:val="32"/>
          <w:szCs w:val="32"/>
          <w:lang w:val="en-US" w:eastAsia="zh-CN"/>
        </w:rPr>
        <w:t>出台《淮南市进一步优化政务服务提升行政效能推动“高效办成一件事”工作方案》，</w:t>
      </w:r>
      <w:r>
        <w:rPr>
          <w:rFonts w:hint="eastAsia" w:ascii="Times New Roman" w:hAnsi="Times New Roman" w:eastAsia="方正仿宋_GBK" w:cs="方正仿宋_GBK"/>
          <w:color w:val="auto"/>
          <w:sz w:val="32"/>
          <w:szCs w:val="32"/>
          <w:lang w:eastAsia="zh-CN"/>
        </w:rPr>
        <w:t>我局“高效办成一件事”相关经验做法已在国家发改委《全国优化营商环境情况交流》、省政府《安徽政务交流》刊发，入选全省解决“一类事”问题典型案例，在全省复制推广，并获评安徽省文明单位荣誉称号。</w:t>
      </w:r>
    </w:p>
    <w:p w14:paraId="16AEE67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楷体_GBK" w:cs="方正楷体_GBK"/>
          <w:color w:val="auto"/>
          <w:sz w:val="32"/>
          <w:szCs w:val="32"/>
          <w:lang w:val="en-US" w:eastAsia="zh-CN"/>
        </w:rPr>
        <w:t>（一）主动公开。</w:t>
      </w:r>
      <w:r>
        <w:rPr>
          <w:rFonts w:hint="eastAsia" w:ascii="Times New Roman" w:hAnsi="Times New Roman" w:eastAsia="方正仿宋_GBK" w:cs="方正仿宋_GBK"/>
          <w:color w:val="auto"/>
          <w:sz w:val="32"/>
          <w:szCs w:val="32"/>
          <w:lang w:eastAsia="zh-CN"/>
        </w:rPr>
        <w:t>持续推进政务公开工作，加强公开专栏内容审核，增强政府信息公开实效，保障人民群众的知情权、监督权。</w:t>
      </w:r>
      <w:r>
        <w:rPr>
          <w:rFonts w:hint="eastAsia" w:ascii="Times New Roman" w:hAnsi="Times New Roman" w:eastAsia="方正仿宋_GBK" w:cs="方正仿宋_GBK"/>
          <w:color w:val="auto"/>
          <w:sz w:val="32"/>
          <w:szCs w:val="32"/>
        </w:rPr>
        <w:t>202</w:t>
      </w:r>
      <w:r>
        <w:rPr>
          <w:rFonts w:hint="eastAsia" w:ascii="Times New Roman" w:hAnsi="Times New Roman" w:eastAsia="方正仿宋_GBK" w:cs="方正仿宋_GBK"/>
          <w:color w:val="auto"/>
          <w:sz w:val="32"/>
          <w:szCs w:val="32"/>
          <w:lang w:val="en-US" w:eastAsia="zh-CN"/>
        </w:rPr>
        <w:t>4</w:t>
      </w:r>
      <w:r>
        <w:rPr>
          <w:rFonts w:hint="eastAsia" w:ascii="Times New Roman" w:hAnsi="Times New Roman" w:eastAsia="方正仿宋_GBK" w:cs="方正仿宋_GBK"/>
          <w:color w:val="auto"/>
          <w:sz w:val="32"/>
          <w:szCs w:val="32"/>
        </w:rPr>
        <w:t>年，淮南市数据资源管理局网站共发布政务动态信息</w:t>
      </w:r>
      <w:r>
        <w:rPr>
          <w:rFonts w:hint="eastAsia" w:ascii="Times New Roman" w:hAnsi="Times New Roman" w:eastAsia="方正仿宋_GBK" w:cs="方正仿宋_GBK"/>
          <w:color w:val="auto"/>
          <w:sz w:val="32"/>
          <w:szCs w:val="32"/>
          <w:lang w:val="en-US" w:eastAsia="zh-CN"/>
        </w:rPr>
        <w:t>133</w:t>
      </w:r>
      <w:r>
        <w:rPr>
          <w:rFonts w:hint="eastAsia" w:ascii="Times New Roman" w:hAnsi="Times New Roman" w:eastAsia="方正仿宋_GBK" w:cs="方正仿宋_GBK"/>
          <w:color w:val="auto"/>
          <w:sz w:val="32"/>
          <w:szCs w:val="32"/>
        </w:rPr>
        <w:t>篇，信息公开目录信息更新量</w:t>
      </w:r>
      <w:r>
        <w:rPr>
          <w:rFonts w:hint="eastAsia" w:ascii="Times New Roman" w:hAnsi="Times New Roman" w:eastAsia="方正仿宋_GBK" w:cs="方正仿宋_GBK"/>
          <w:color w:val="auto"/>
          <w:sz w:val="32"/>
          <w:szCs w:val="32"/>
          <w:lang w:val="en-US" w:eastAsia="zh-CN"/>
        </w:rPr>
        <w:t>157</w:t>
      </w:r>
      <w:r>
        <w:rPr>
          <w:rFonts w:hint="eastAsia" w:ascii="Times New Roman" w:hAnsi="Times New Roman" w:eastAsia="方正仿宋_GBK" w:cs="方正仿宋_GBK"/>
          <w:color w:val="auto"/>
          <w:sz w:val="32"/>
          <w:szCs w:val="32"/>
        </w:rPr>
        <w:t>篇。</w:t>
      </w:r>
      <w:r>
        <w:rPr>
          <w:rFonts w:hint="eastAsia" w:ascii="Times New Roman" w:hAnsi="Times New Roman" w:eastAsia="方正仿宋_GBK" w:cs="方正仿宋_GBK"/>
          <w:color w:val="auto"/>
          <w:sz w:val="32"/>
          <w:szCs w:val="32"/>
          <w:lang w:eastAsia="zh-CN"/>
        </w:rPr>
        <w:t>新增“学习贯彻党的二十届三中全会精神”栏目，共发布</w:t>
      </w:r>
      <w:r>
        <w:rPr>
          <w:rFonts w:hint="eastAsia" w:ascii="Times New Roman" w:hAnsi="Times New Roman" w:eastAsia="方正仿宋_GBK" w:cs="方正仿宋_GBK"/>
          <w:color w:val="auto"/>
          <w:sz w:val="32"/>
          <w:szCs w:val="32"/>
          <w:lang w:val="en-US" w:eastAsia="zh-CN"/>
        </w:rPr>
        <w:t>18条信息，新增“高效办成一件事”栏目，共发布12条信息。</w:t>
      </w:r>
      <w:r>
        <w:rPr>
          <w:rFonts w:hint="eastAsia" w:ascii="Times New Roman" w:hAnsi="Times New Roman" w:eastAsia="方正仿宋_GBK" w:cs="方正仿宋_GBK"/>
          <w:color w:val="auto"/>
          <w:sz w:val="32"/>
          <w:szCs w:val="32"/>
        </w:rPr>
        <w:t>发布征集调查1</w:t>
      </w:r>
      <w:r>
        <w:rPr>
          <w:rFonts w:hint="eastAsia" w:ascii="Times New Roman" w:hAnsi="Times New Roman" w:eastAsia="方正仿宋_GBK" w:cs="方正仿宋_GBK"/>
          <w:color w:val="auto"/>
          <w:sz w:val="32"/>
          <w:szCs w:val="32"/>
          <w:lang w:val="en-US" w:eastAsia="zh-CN"/>
        </w:rPr>
        <w:t>2</w:t>
      </w:r>
      <w:r>
        <w:rPr>
          <w:rFonts w:hint="eastAsia" w:ascii="Times New Roman" w:hAnsi="Times New Roman" w:eastAsia="方正仿宋_GBK" w:cs="方正仿宋_GBK"/>
          <w:color w:val="auto"/>
          <w:sz w:val="32"/>
          <w:szCs w:val="32"/>
        </w:rPr>
        <w:t>期，4次参加市广播电视台《政风行风热线》栏目</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举办2次新闻发布会，</w:t>
      </w:r>
      <w:r>
        <w:rPr>
          <w:rFonts w:hint="eastAsia" w:ascii="Times New Roman" w:hAnsi="Times New Roman" w:eastAsia="方正仿宋_GBK" w:cs="方正仿宋_GBK"/>
          <w:color w:val="auto"/>
          <w:sz w:val="32"/>
          <w:szCs w:val="32"/>
          <w:lang w:eastAsia="zh-CN"/>
        </w:rPr>
        <w:t>均为“高效办成一件事”工作情况交流主题。</w:t>
      </w:r>
    </w:p>
    <w:p w14:paraId="6BD8B72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color w:val="auto"/>
          <w:sz w:val="32"/>
          <w:szCs w:val="32"/>
          <w:lang w:val="en-US" w:eastAsia="zh-CN"/>
        </w:rPr>
        <w:t>（二）依申请公开。</w:t>
      </w:r>
      <w:r>
        <w:rPr>
          <w:rFonts w:hint="eastAsia" w:ascii="Times New Roman" w:hAnsi="Times New Roman" w:eastAsia="方正仿宋_GBK" w:cs="方正仿宋_GBK"/>
          <w:color w:val="auto"/>
          <w:sz w:val="32"/>
          <w:szCs w:val="32"/>
        </w:rPr>
        <w:t>按照《安徽省政府信息公开申请办理答复规范》要求规范办理信息公开申请。202</w:t>
      </w:r>
      <w:r>
        <w:rPr>
          <w:rFonts w:hint="eastAsia" w:ascii="Times New Roman" w:hAnsi="Times New Roman" w:eastAsia="方正仿宋_GBK" w:cs="方正仿宋_GBK"/>
          <w:color w:val="auto"/>
          <w:sz w:val="32"/>
          <w:szCs w:val="32"/>
          <w:lang w:val="en-US" w:eastAsia="zh-CN"/>
        </w:rPr>
        <w:t>4</w:t>
      </w:r>
      <w:r>
        <w:rPr>
          <w:rFonts w:hint="eastAsia" w:ascii="Times New Roman" w:hAnsi="Times New Roman" w:eastAsia="方正仿宋_GBK" w:cs="方正仿宋_GBK"/>
          <w:color w:val="auto"/>
          <w:sz w:val="32"/>
          <w:szCs w:val="32"/>
        </w:rPr>
        <w:t>年共受理依申请公开</w:t>
      </w: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rPr>
        <w:t>件</w:t>
      </w:r>
      <w:r>
        <w:rPr>
          <w:rFonts w:hint="eastAsia" w:ascii="Times New Roman" w:hAnsi="Times New Roman" w:eastAsia="方正仿宋_GBK" w:cs="方正仿宋_GBK"/>
          <w:color w:val="auto"/>
          <w:sz w:val="32"/>
          <w:szCs w:val="32"/>
          <w:lang w:eastAsia="zh-CN"/>
        </w:rPr>
        <w:t>，为个人网上申请。</w:t>
      </w:r>
      <w:r>
        <w:rPr>
          <w:rFonts w:hint="eastAsia" w:ascii="Times New Roman" w:hAnsi="Times New Roman" w:eastAsia="方正仿宋_GBK" w:cs="方正仿宋_GBK"/>
          <w:color w:val="auto"/>
          <w:sz w:val="32"/>
          <w:szCs w:val="32"/>
        </w:rPr>
        <w:t>已依法按时答复并予以公开</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全年没有因政府信息公开工作被申请行政复议、提起行政诉讼。</w:t>
      </w:r>
    </w:p>
    <w:p w14:paraId="057461F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楷体_GBK" w:cs="方正楷体_GBK"/>
          <w:color w:val="auto"/>
          <w:sz w:val="32"/>
          <w:szCs w:val="32"/>
          <w:lang w:val="en-US" w:eastAsia="zh-CN"/>
        </w:rPr>
        <w:t>（三）政府信息管理。</w:t>
      </w:r>
      <w:r>
        <w:rPr>
          <w:rFonts w:hint="eastAsia" w:ascii="Times New Roman" w:hAnsi="Times New Roman" w:eastAsia="方正仿宋_GBK" w:cs="方正仿宋_GBK"/>
          <w:color w:val="auto"/>
          <w:sz w:val="32"/>
          <w:szCs w:val="32"/>
          <w:lang w:val="en-US" w:eastAsia="zh-CN"/>
        </w:rPr>
        <w:t>规范政策文件制定公开，落实互联网信息发布三审制度，2024年制发规范性文件</w:t>
      </w:r>
      <w:r>
        <w:rPr>
          <w:rFonts w:hint="eastAsia" w:eastAsia="方正仿宋_GBK" w:cs="方正仿宋_GBK"/>
          <w:color w:val="auto"/>
          <w:sz w:val="32"/>
          <w:szCs w:val="32"/>
          <w:lang w:val="en-US" w:eastAsia="zh-CN"/>
        </w:rPr>
        <w:t>0</w:t>
      </w:r>
      <w:r>
        <w:rPr>
          <w:rFonts w:hint="eastAsia" w:ascii="Times New Roman" w:hAnsi="Times New Roman" w:eastAsia="方正仿宋_GBK" w:cs="方正仿宋_GBK"/>
          <w:color w:val="auto"/>
          <w:sz w:val="32"/>
          <w:szCs w:val="32"/>
          <w:lang w:val="en-US" w:eastAsia="zh-CN"/>
        </w:rPr>
        <w:t>件，废止1件，发布部门其他文件1件，转发上级政策文件7件，对我局“高效办成一件事”工作进行省级政策配套更新。</w:t>
      </w:r>
    </w:p>
    <w:p w14:paraId="2AFF056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楷体_GBK" w:cs="方正楷体_GBK"/>
          <w:color w:val="auto"/>
          <w:sz w:val="32"/>
          <w:szCs w:val="32"/>
          <w:lang w:val="en-US" w:eastAsia="zh-CN"/>
        </w:rPr>
        <w:t>（四）政府信息公开平台建设。</w:t>
      </w:r>
      <w:r>
        <w:rPr>
          <w:rFonts w:hint="eastAsia" w:ascii="Times New Roman" w:hAnsi="Times New Roman" w:eastAsia="方正仿宋_GBK" w:cs="方正仿宋_GBK"/>
          <w:color w:val="auto"/>
          <w:sz w:val="32"/>
          <w:szCs w:val="32"/>
        </w:rPr>
        <w:t>整合建立</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高效办成一件事</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综合窗口</w:t>
      </w:r>
      <w:r>
        <w:rPr>
          <w:rFonts w:hint="eastAsia" w:ascii="Times New Roman" w:hAnsi="Times New Roman" w:eastAsia="方正仿宋_GBK" w:cs="方正仿宋_GBK"/>
          <w:color w:val="auto"/>
          <w:sz w:val="32"/>
          <w:szCs w:val="32"/>
          <w:lang w:eastAsia="zh-CN"/>
        </w:rPr>
        <w:t>，设立“高效办成一件事”专题栏目，发布本部门工作动态、媒体报道等信息供交流参考，完善“专项工作”栏目信息，按季度发布“局长带头换位体验走流程”计划安排表，加强政务信息公开标准化规范化建设。</w:t>
      </w:r>
    </w:p>
    <w:p w14:paraId="5793504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楷体_GBK" w:cs="方正楷体_GBK"/>
          <w:color w:val="auto"/>
          <w:sz w:val="32"/>
          <w:szCs w:val="32"/>
          <w:lang w:val="en-US" w:eastAsia="zh-CN"/>
        </w:rPr>
        <w:t>（五）监督保障。</w:t>
      </w:r>
      <w:r>
        <w:rPr>
          <w:rFonts w:hint="eastAsia" w:ascii="Times New Roman" w:hAnsi="Times New Roman" w:eastAsia="方正仿宋_GBK" w:cs="方正仿宋_GBK"/>
          <w:color w:val="auto"/>
          <w:sz w:val="32"/>
          <w:szCs w:val="32"/>
        </w:rPr>
        <w:t>全年共参加</w:t>
      </w:r>
      <w:r>
        <w:rPr>
          <w:rFonts w:hint="eastAsia" w:ascii="Times New Roman" w:hAnsi="Times New Roman" w:eastAsia="方正仿宋_GBK" w:cs="方正仿宋_GBK"/>
          <w:color w:val="auto"/>
          <w:sz w:val="32"/>
          <w:szCs w:val="32"/>
          <w:lang w:val="en-US" w:eastAsia="zh-CN"/>
        </w:rPr>
        <w:t>5</w:t>
      </w:r>
      <w:r>
        <w:rPr>
          <w:rFonts w:hint="eastAsia" w:ascii="Times New Roman" w:hAnsi="Times New Roman" w:eastAsia="方正仿宋_GBK" w:cs="方正仿宋_GBK"/>
          <w:color w:val="auto"/>
          <w:sz w:val="32"/>
          <w:szCs w:val="32"/>
        </w:rPr>
        <w:t>次全市政务公开工作培训会</w:t>
      </w:r>
      <w:r>
        <w:rPr>
          <w:rFonts w:hint="eastAsia" w:ascii="Times New Roman" w:hAnsi="Times New Roman" w:eastAsia="方正仿宋_GBK" w:cs="方正仿宋_GBK"/>
          <w:color w:val="auto"/>
          <w:sz w:val="32"/>
          <w:szCs w:val="32"/>
          <w:lang w:eastAsia="zh-CN"/>
        </w:rPr>
        <w:t>，包含一次依申请公开专题培训。健全社会评议制度，全年办结网站留言</w:t>
      </w:r>
      <w:r>
        <w:rPr>
          <w:rFonts w:hint="eastAsia" w:ascii="Times New Roman" w:hAnsi="Times New Roman" w:eastAsia="方正仿宋_GBK" w:cs="方正仿宋_GBK"/>
          <w:color w:val="auto"/>
          <w:sz w:val="32"/>
          <w:szCs w:val="32"/>
          <w:lang w:val="en-US" w:eastAsia="zh-CN"/>
        </w:rPr>
        <w:t>2条，均为咨询信件，平均答复时长2天，无投诉情况。</w:t>
      </w:r>
      <w:r>
        <w:rPr>
          <w:rFonts w:hint="eastAsia" w:ascii="Times New Roman" w:hAnsi="Times New Roman" w:eastAsia="方正仿宋_GBK" w:cs="方正仿宋_GBK"/>
          <w:color w:val="auto"/>
          <w:sz w:val="32"/>
          <w:szCs w:val="32"/>
        </w:rPr>
        <w:t>全年未出现政府信息公开责任追究情况</w:t>
      </w:r>
      <w:bookmarkStart w:id="0" w:name="_GoBack"/>
      <w:bookmarkEnd w:id="0"/>
      <w:r>
        <w:rPr>
          <w:rFonts w:hint="eastAsia" w:ascii="Times New Roman" w:hAnsi="Times New Roman" w:eastAsia="方正仿宋_GBK" w:cs="方正仿宋_GBK"/>
          <w:color w:val="auto"/>
          <w:sz w:val="32"/>
          <w:szCs w:val="32"/>
        </w:rPr>
        <w:t>。</w:t>
      </w:r>
    </w:p>
    <w:p w14:paraId="59FAA56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二、主动公开政府信息情况</w:t>
      </w:r>
    </w:p>
    <w:tbl>
      <w:tblPr>
        <w:tblStyle w:val="4"/>
        <w:tblpPr w:leftFromText="180" w:rightFromText="180" w:vertAnchor="text" w:horzAnchor="page" w:tblpXSpec="center" w:tblpY="256"/>
        <w:tblOverlap w:val="never"/>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25"/>
        <w:gridCol w:w="2025"/>
        <w:gridCol w:w="2025"/>
        <w:gridCol w:w="2025"/>
      </w:tblGrid>
      <w:tr w14:paraId="57648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14:paraId="639E88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rPr>
            </w:pPr>
            <w:r>
              <w:rPr>
                <w:rFonts w:hint="default" w:ascii="Times New Roman" w:hAnsi="Times New Roman" w:eastAsia="宋体" w:cs="Times New Roman"/>
                <w:color w:val="000000"/>
                <w:kern w:val="0"/>
                <w:sz w:val="20"/>
                <w:szCs w:val="20"/>
                <w:lang w:val="en-US" w:eastAsia="zh-CN" w:bidi="ar"/>
              </w:rPr>
              <w:t>第二十条第（一）项</w:t>
            </w:r>
          </w:p>
        </w:tc>
      </w:tr>
      <w:tr w14:paraId="58178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0F10A9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rPr>
            </w:pPr>
            <w:r>
              <w:rPr>
                <w:rFonts w:hint="default" w:ascii="Times New Roman" w:hAnsi="Times New Roman" w:eastAsia="宋体" w:cs="Times New Roman"/>
                <w:color w:val="000000"/>
                <w:kern w:val="0"/>
                <w:sz w:val="20"/>
                <w:szCs w:val="20"/>
                <w:lang w:val="en-US" w:eastAsia="zh-CN" w:bidi="ar"/>
              </w:rPr>
              <w:t>信息内容</w:t>
            </w:r>
          </w:p>
        </w:tc>
        <w:tc>
          <w:tcPr>
            <w:tcW w:w="2025" w:type="dxa"/>
            <w:noWrap w:val="0"/>
            <w:tcMar>
              <w:left w:w="57" w:type="dxa"/>
              <w:right w:w="57" w:type="dxa"/>
            </w:tcMar>
            <w:vAlign w:val="center"/>
          </w:tcPr>
          <w:p w14:paraId="28C7F8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rPr>
            </w:pPr>
            <w:r>
              <w:rPr>
                <w:rFonts w:hint="default" w:ascii="Times New Roman" w:hAnsi="Times New Roman" w:eastAsia="宋体" w:cs="Times New Roman"/>
                <w:color w:val="000000"/>
                <w:kern w:val="0"/>
                <w:sz w:val="20"/>
                <w:szCs w:val="20"/>
                <w:lang w:val="en-US" w:eastAsia="zh-CN" w:bidi="ar"/>
              </w:rPr>
              <w:t>本年</w:t>
            </w:r>
            <w:r>
              <w:rPr>
                <w:rFonts w:hint="default" w:ascii="Times New Roman" w:hAnsi="Times New Roman" w:eastAsia="宋体" w:cs="Times New Roman"/>
                <w:kern w:val="0"/>
                <w:sz w:val="20"/>
                <w:szCs w:val="20"/>
                <w:lang w:val="en-US" w:eastAsia="zh-CN" w:bidi="ar"/>
              </w:rPr>
              <w:t>制发件数</w:t>
            </w:r>
          </w:p>
        </w:tc>
        <w:tc>
          <w:tcPr>
            <w:tcW w:w="2025" w:type="dxa"/>
            <w:noWrap w:val="0"/>
            <w:tcMar>
              <w:left w:w="57" w:type="dxa"/>
              <w:right w:w="57" w:type="dxa"/>
            </w:tcMar>
            <w:vAlign w:val="center"/>
          </w:tcPr>
          <w:p w14:paraId="6D6462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rPr>
            </w:pPr>
            <w:r>
              <w:rPr>
                <w:rFonts w:hint="default" w:ascii="Times New Roman" w:hAnsi="Times New Roman" w:eastAsia="宋体" w:cs="Times New Roman"/>
                <w:color w:val="000000"/>
                <w:kern w:val="0"/>
                <w:sz w:val="20"/>
                <w:szCs w:val="20"/>
                <w:lang w:val="en-US" w:eastAsia="zh-CN" w:bidi="ar"/>
              </w:rPr>
              <w:t>本年废止件数</w:t>
            </w:r>
          </w:p>
        </w:tc>
        <w:tc>
          <w:tcPr>
            <w:tcW w:w="2025" w:type="dxa"/>
            <w:noWrap w:val="0"/>
            <w:tcMar>
              <w:left w:w="57" w:type="dxa"/>
              <w:right w:w="57" w:type="dxa"/>
            </w:tcMar>
            <w:vAlign w:val="center"/>
          </w:tcPr>
          <w:p w14:paraId="352025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rPr>
            </w:pPr>
            <w:r>
              <w:rPr>
                <w:rFonts w:hint="default" w:ascii="Times New Roman" w:hAnsi="Times New Roman" w:eastAsia="宋体" w:cs="Times New Roman"/>
                <w:color w:val="000000"/>
                <w:kern w:val="0"/>
                <w:sz w:val="20"/>
                <w:szCs w:val="20"/>
                <w:lang w:val="en-US" w:eastAsia="zh-CN" w:bidi="ar"/>
              </w:rPr>
              <w:t>现行有效件</w:t>
            </w:r>
            <w:r>
              <w:rPr>
                <w:rFonts w:hint="default" w:ascii="Times New Roman" w:hAnsi="Times New Roman" w:eastAsia="宋体" w:cs="Times New Roman"/>
                <w:kern w:val="0"/>
                <w:sz w:val="20"/>
                <w:szCs w:val="20"/>
                <w:lang w:val="en-US" w:eastAsia="zh-CN" w:bidi="ar"/>
              </w:rPr>
              <w:t>数</w:t>
            </w:r>
          </w:p>
        </w:tc>
      </w:tr>
      <w:tr w14:paraId="1E48C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26B195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rPr>
            </w:pPr>
            <w:r>
              <w:rPr>
                <w:rFonts w:hint="default" w:ascii="Times New Roman" w:hAnsi="Times New Roman" w:eastAsia="宋体" w:cs="Times New Roman"/>
                <w:color w:val="000000"/>
                <w:kern w:val="0"/>
                <w:sz w:val="20"/>
                <w:szCs w:val="20"/>
                <w:lang w:val="en-US" w:eastAsia="zh-CN" w:bidi="ar"/>
              </w:rPr>
              <w:t>规章</w:t>
            </w:r>
          </w:p>
        </w:tc>
        <w:tc>
          <w:tcPr>
            <w:tcW w:w="2025" w:type="dxa"/>
            <w:noWrap w:val="0"/>
            <w:tcMar>
              <w:left w:w="57" w:type="dxa"/>
              <w:right w:w="57" w:type="dxa"/>
            </w:tcMar>
            <w:vAlign w:val="center"/>
          </w:tcPr>
          <w:p w14:paraId="7E3A25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lang w:val="en-US"/>
              </w:rPr>
            </w:pPr>
            <w:r>
              <w:rPr>
                <w:rFonts w:hint="default" w:ascii="Times New Roman" w:hAnsi="Times New Roman" w:cs="Times New Roman"/>
                <w:color w:val="000000"/>
                <w:kern w:val="0"/>
                <w:sz w:val="20"/>
                <w:szCs w:val="20"/>
                <w:lang w:val="en-US" w:eastAsia="zh-CN" w:bidi="ar"/>
              </w:rPr>
              <w:t>0</w:t>
            </w:r>
          </w:p>
        </w:tc>
        <w:tc>
          <w:tcPr>
            <w:tcW w:w="2025" w:type="dxa"/>
            <w:noWrap w:val="0"/>
            <w:tcMar>
              <w:left w:w="57" w:type="dxa"/>
              <w:right w:w="57" w:type="dxa"/>
            </w:tcMar>
            <w:vAlign w:val="center"/>
          </w:tcPr>
          <w:p w14:paraId="1CEC1E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lang w:val="en-US"/>
              </w:rPr>
            </w:pPr>
            <w:r>
              <w:rPr>
                <w:rFonts w:hint="default" w:ascii="Times New Roman" w:hAnsi="Times New Roman" w:cs="Times New Roman"/>
                <w:color w:val="000000"/>
                <w:kern w:val="0"/>
                <w:sz w:val="20"/>
                <w:szCs w:val="20"/>
                <w:lang w:val="en-US" w:eastAsia="zh-CN" w:bidi="ar"/>
              </w:rPr>
              <w:t>0</w:t>
            </w:r>
          </w:p>
        </w:tc>
        <w:tc>
          <w:tcPr>
            <w:tcW w:w="2025" w:type="dxa"/>
            <w:noWrap w:val="0"/>
            <w:tcMar>
              <w:left w:w="57" w:type="dxa"/>
              <w:right w:w="57" w:type="dxa"/>
            </w:tcMar>
            <w:vAlign w:val="center"/>
          </w:tcPr>
          <w:p w14:paraId="6B63AC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lang w:val="en-US"/>
              </w:rPr>
            </w:pPr>
            <w:r>
              <w:rPr>
                <w:rFonts w:hint="default" w:ascii="Times New Roman" w:hAnsi="Times New Roman" w:cs="Times New Roman"/>
                <w:kern w:val="0"/>
                <w:sz w:val="21"/>
                <w:szCs w:val="21"/>
                <w:lang w:val="en-US" w:eastAsia="zh-CN" w:bidi="ar"/>
              </w:rPr>
              <w:t>0</w:t>
            </w:r>
          </w:p>
        </w:tc>
      </w:tr>
      <w:tr w14:paraId="0F29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2A1AC8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rPr>
            </w:pPr>
            <w:r>
              <w:rPr>
                <w:rFonts w:hint="default" w:ascii="Times New Roman" w:hAnsi="Times New Roman" w:eastAsia="宋体" w:cs="Times New Roman"/>
                <w:color w:val="000000"/>
                <w:kern w:val="0"/>
                <w:sz w:val="20"/>
                <w:szCs w:val="20"/>
                <w:lang w:val="en-US" w:eastAsia="zh-CN" w:bidi="ar"/>
              </w:rPr>
              <w:t>行政规范性文件</w:t>
            </w:r>
          </w:p>
        </w:tc>
        <w:tc>
          <w:tcPr>
            <w:tcW w:w="2025" w:type="dxa"/>
            <w:noWrap w:val="0"/>
            <w:tcMar>
              <w:left w:w="57" w:type="dxa"/>
              <w:right w:w="57" w:type="dxa"/>
            </w:tcMar>
            <w:vAlign w:val="center"/>
          </w:tcPr>
          <w:p w14:paraId="616FCB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lang w:val="en-US"/>
              </w:rPr>
            </w:pPr>
            <w:r>
              <w:rPr>
                <w:rFonts w:hint="eastAsia" w:cs="Times New Roman"/>
                <w:color w:val="000000"/>
                <w:kern w:val="0"/>
                <w:sz w:val="20"/>
                <w:szCs w:val="20"/>
                <w:lang w:val="en-US" w:eastAsia="zh-CN" w:bidi="ar"/>
              </w:rPr>
              <w:t>0</w:t>
            </w:r>
          </w:p>
        </w:tc>
        <w:tc>
          <w:tcPr>
            <w:tcW w:w="2025" w:type="dxa"/>
            <w:noWrap w:val="0"/>
            <w:tcMar>
              <w:left w:w="57" w:type="dxa"/>
              <w:right w:w="57" w:type="dxa"/>
            </w:tcMar>
            <w:vAlign w:val="center"/>
          </w:tcPr>
          <w:p w14:paraId="281943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lang w:val="en-US"/>
              </w:rPr>
            </w:pPr>
            <w:r>
              <w:rPr>
                <w:rFonts w:hint="default" w:ascii="Times New Roman" w:hAnsi="Times New Roman" w:cs="Times New Roman"/>
                <w:color w:val="000000"/>
                <w:kern w:val="0"/>
                <w:sz w:val="20"/>
                <w:szCs w:val="20"/>
                <w:lang w:val="en-US" w:eastAsia="zh-CN" w:bidi="ar"/>
              </w:rPr>
              <w:t>1</w:t>
            </w:r>
          </w:p>
        </w:tc>
        <w:tc>
          <w:tcPr>
            <w:tcW w:w="2025" w:type="dxa"/>
            <w:noWrap w:val="0"/>
            <w:tcMar>
              <w:left w:w="57" w:type="dxa"/>
              <w:right w:w="57" w:type="dxa"/>
            </w:tcMar>
            <w:vAlign w:val="center"/>
          </w:tcPr>
          <w:p w14:paraId="6D919D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lang w:val="en-US"/>
              </w:rPr>
            </w:pPr>
            <w:r>
              <w:rPr>
                <w:rFonts w:hint="eastAsia" w:cs="Times New Roman"/>
                <w:kern w:val="0"/>
                <w:sz w:val="21"/>
                <w:szCs w:val="21"/>
                <w:lang w:val="en-US" w:eastAsia="zh-CN" w:bidi="ar"/>
              </w:rPr>
              <w:t>6</w:t>
            </w:r>
          </w:p>
        </w:tc>
      </w:tr>
      <w:tr w14:paraId="472F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14:paraId="4CB7E2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rPr>
            </w:pPr>
            <w:r>
              <w:rPr>
                <w:rFonts w:hint="default" w:ascii="Times New Roman" w:hAnsi="Times New Roman" w:eastAsia="宋体" w:cs="Times New Roman"/>
                <w:color w:val="000000"/>
                <w:kern w:val="0"/>
                <w:sz w:val="20"/>
                <w:szCs w:val="20"/>
                <w:lang w:val="en-US" w:eastAsia="zh-CN" w:bidi="ar"/>
              </w:rPr>
              <w:t>第二十条第（五）项</w:t>
            </w:r>
          </w:p>
        </w:tc>
      </w:tr>
      <w:tr w14:paraId="0F16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02C414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rPr>
            </w:pPr>
            <w:r>
              <w:rPr>
                <w:rFonts w:hint="default" w:ascii="Times New Roman" w:hAnsi="Times New Roman" w:eastAsia="宋体" w:cs="Times New Roman"/>
                <w:color w:val="000000"/>
                <w:kern w:val="0"/>
                <w:sz w:val="20"/>
                <w:szCs w:val="20"/>
                <w:lang w:val="en-US" w:eastAsia="zh-CN" w:bidi="ar"/>
              </w:rPr>
              <w:t>信息内容</w:t>
            </w:r>
          </w:p>
        </w:tc>
        <w:tc>
          <w:tcPr>
            <w:tcW w:w="6075" w:type="dxa"/>
            <w:gridSpan w:val="3"/>
            <w:noWrap w:val="0"/>
            <w:tcMar>
              <w:left w:w="57" w:type="dxa"/>
              <w:right w:w="57" w:type="dxa"/>
            </w:tcMar>
            <w:vAlign w:val="center"/>
          </w:tcPr>
          <w:p w14:paraId="3F92A4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rPr>
            </w:pPr>
            <w:r>
              <w:rPr>
                <w:rFonts w:hint="default" w:ascii="Times New Roman" w:hAnsi="Times New Roman" w:eastAsia="宋体" w:cs="Times New Roman"/>
                <w:color w:val="000000"/>
                <w:kern w:val="0"/>
                <w:sz w:val="20"/>
                <w:szCs w:val="20"/>
                <w:lang w:val="en-US" w:eastAsia="zh-CN" w:bidi="ar"/>
              </w:rPr>
              <w:t>本年处理决定数量</w:t>
            </w:r>
          </w:p>
        </w:tc>
      </w:tr>
      <w:tr w14:paraId="76F2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646E26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rPr>
            </w:pPr>
            <w:r>
              <w:rPr>
                <w:rFonts w:hint="default" w:ascii="Times New Roman" w:hAnsi="Times New Roman" w:eastAsia="宋体" w:cs="Times New Roman"/>
                <w:color w:val="000000"/>
                <w:kern w:val="0"/>
                <w:sz w:val="20"/>
                <w:szCs w:val="20"/>
                <w:lang w:val="en-US" w:eastAsia="zh-CN" w:bidi="ar"/>
              </w:rPr>
              <w:t>行政许可</w:t>
            </w:r>
          </w:p>
        </w:tc>
        <w:tc>
          <w:tcPr>
            <w:tcW w:w="6075" w:type="dxa"/>
            <w:gridSpan w:val="3"/>
            <w:noWrap w:val="0"/>
            <w:tcMar>
              <w:left w:w="57" w:type="dxa"/>
              <w:right w:w="57" w:type="dxa"/>
            </w:tcMar>
            <w:vAlign w:val="center"/>
          </w:tcPr>
          <w:p w14:paraId="110A05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lang w:val="en-US"/>
              </w:rPr>
            </w:pPr>
            <w:r>
              <w:rPr>
                <w:rFonts w:hint="default" w:ascii="Times New Roman" w:hAnsi="Times New Roman" w:cs="Times New Roman"/>
                <w:color w:val="000000"/>
                <w:kern w:val="0"/>
                <w:sz w:val="20"/>
                <w:szCs w:val="20"/>
                <w:lang w:val="en-US" w:eastAsia="zh-CN" w:bidi="ar"/>
              </w:rPr>
              <w:t> 0</w:t>
            </w:r>
          </w:p>
        </w:tc>
      </w:tr>
      <w:tr w14:paraId="6F6F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14:paraId="278BE3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rPr>
            </w:pPr>
            <w:r>
              <w:rPr>
                <w:rFonts w:hint="default" w:ascii="Times New Roman" w:hAnsi="Times New Roman" w:eastAsia="宋体" w:cs="Times New Roman"/>
                <w:color w:val="000000"/>
                <w:kern w:val="0"/>
                <w:sz w:val="20"/>
                <w:szCs w:val="20"/>
                <w:lang w:val="en-US" w:eastAsia="zh-CN" w:bidi="ar"/>
              </w:rPr>
              <w:t>第二十条第（六）项</w:t>
            </w:r>
          </w:p>
        </w:tc>
      </w:tr>
      <w:tr w14:paraId="0593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40C799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rPr>
            </w:pPr>
            <w:r>
              <w:rPr>
                <w:rFonts w:hint="default" w:ascii="Times New Roman" w:hAnsi="Times New Roman" w:eastAsia="宋体" w:cs="Times New Roman"/>
                <w:color w:val="000000"/>
                <w:kern w:val="0"/>
                <w:sz w:val="20"/>
                <w:szCs w:val="20"/>
                <w:lang w:val="en-US" w:eastAsia="zh-CN" w:bidi="ar"/>
              </w:rPr>
              <w:t>信息内容</w:t>
            </w:r>
          </w:p>
        </w:tc>
        <w:tc>
          <w:tcPr>
            <w:tcW w:w="6075" w:type="dxa"/>
            <w:gridSpan w:val="3"/>
            <w:noWrap w:val="0"/>
            <w:tcMar>
              <w:left w:w="57" w:type="dxa"/>
              <w:right w:w="57" w:type="dxa"/>
            </w:tcMar>
            <w:vAlign w:val="center"/>
          </w:tcPr>
          <w:p w14:paraId="44B9C1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rPr>
            </w:pPr>
            <w:r>
              <w:rPr>
                <w:rFonts w:hint="default" w:ascii="Times New Roman" w:hAnsi="Times New Roman" w:eastAsia="宋体" w:cs="Times New Roman"/>
                <w:color w:val="000000"/>
                <w:kern w:val="0"/>
                <w:sz w:val="20"/>
                <w:szCs w:val="20"/>
                <w:lang w:val="en-US" w:eastAsia="zh-CN" w:bidi="ar"/>
              </w:rPr>
              <w:t>本年处理决定数量</w:t>
            </w:r>
          </w:p>
        </w:tc>
      </w:tr>
      <w:tr w14:paraId="2D60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71F7E8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rPr>
            </w:pPr>
            <w:r>
              <w:rPr>
                <w:rFonts w:hint="default" w:ascii="Times New Roman" w:hAnsi="Times New Roman" w:eastAsia="宋体" w:cs="Times New Roman"/>
                <w:color w:val="000000"/>
                <w:kern w:val="0"/>
                <w:sz w:val="20"/>
                <w:szCs w:val="20"/>
                <w:lang w:val="en-US" w:eastAsia="zh-CN" w:bidi="ar"/>
              </w:rPr>
              <w:t>行政处罚</w:t>
            </w:r>
          </w:p>
        </w:tc>
        <w:tc>
          <w:tcPr>
            <w:tcW w:w="6075" w:type="dxa"/>
            <w:gridSpan w:val="3"/>
            <w:noWrap w:val="0"/>
            <w:tcMar>
              <w:left w:w="57" w:type="dxa"/>
              <w:right w:w="57" w:type="dxa"/>
            </w:tcMar>
            <w:vAlign w:val="center"/>
          </w:tcPr>
          <w:p w14:paraId="1F58D0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lang w:val="en-US"/>
              </w:rPr>
            </w:pPr>
            <w:r>
              <w:rPr>
                <w:rFonts w:hint="default" w:ascii="Times New Roman" w:hAnsi="Times New Roman" w:eastAsia="宋体" w:cs="Times New Roman"/>
                <w:lang w:val="en-US" w:eastAsia="zh-CN"/>
              </w:rPr>
              <w:t>0</w:t>
            </w:r>
          </w:p>
        </w:tc>
      </w:tr>
      <w:tr w14:paraId="3ACF3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21BFF5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rPr>
            </w:pPr>
            <w:r>
              <w:rPr>
                <w:rFonts w:hint="default" w:ascii="Times New Roman" w:hAnsi="Times New Roman" w:eastAsia="宋体" w:cs="Times New Roman"/>
                <w:color w:val="000000"/>
                <w:kern w:val="0"/>
                <w:sz w:val="20"/>
                <w:szCs w:val="20"/>
                <w:lang w:val="en-US" w:eastAsia="zh-CN" w:bidi="ar"/>
              </w:rPr>
              <w:t>行政强制</w:t>
            </w:r>
          </w:p>
        </w:tc>
        <w:tc>
          <w:tcPr>
            <w:tcW w:w="6075" w:type="dxa"/>
            <w:gridSpan w:val="3"/>
            <w:noWrap w:val="0"/>
            <w:tcMar>
              <w:left w:w="57" w:type="dxa"/>
              <w:right w:w="57" w:type="dxa"/>
            </w:tcMar>
            <w:vAlign w:val="center"/>
          </w:tcPr>
          <w:p w14:paraId="3468F0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lang w:val="en-US"/>
              </w:rPr>
            </w:pPr>
            <w:r>
              <w:rPr>
                <w:rFonts w:hint="default" w:ascii="Times New Roman" w:hAnsi="Times New Roman" w:eastAsia="宋体" w:cs="Times New Roman"/>
                <w:lang w:val="en-US" w:eastAsia="zh-CN"/>
              </w:rPr>
              <w:t>0</w:t>
            </w:r>
          </w:p>
        </w:tc>
      </w:tr>
      <w:tr w14:paraId="3214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14:paraId="0FAC38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rPr>
            </w:pPr>
            <w:r>
              <w:rPr>
                <w:rFonts w:hint="default" w:ascii="Times New Roman" w:hAnsi="Times New Roman" w:eastAsia="宋体" w:cs="Times New Roman"/>
                <w:color w:val="000000"/>
                <w:kern w:val="0"/>
                <w:sz w:val="20"/>
                <w:szCs w:val="20"/>
                <w:lang w:val="en-US" w:eastAsia="zh-CN" w:bidi="ar"/>
              </w:rPr>
              <w:t>第二十条第（八）项</w:t>
            </w:r>
          </w:p>
        </w:tc>
      </w:tr>
      <w:tr w14:paraId="76A3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484B55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rPr>
            </w:pPr>
            <w:r>
              <w:rPr>
                <w:rFonts w:hint="default" w:ascii="Times New Roman" w:hAnsi="Times New Roman" w:eastAsia="宋体" w:cs="Times New Roman"/>
                <w:color w:val="000000"/>
                <w:kern w:val="0"/>
                <w:sz w:val="20"/>
                <w:szCs w:val="20"/>
                <w:lang w:val="en-US" w:eastAsia="zh-CN" w:bidi="ar"/>
              </w:rPr>
              <w:t>信息内容</w:t>
            </w:r>
          </w:p>
        </w:tc>
        <w:tc>
          <w:tcPr>
            <w:tcW w:w="6075" w:type="dxa"/>
            <w:gridSpan w:val="3"/>
            <w:noWrap w:val="0"/>
            <w:tcMar>
              <w:left w:w="57" w:type="dxa"/>
              <w:right w:w="57" w:type="dxa"/>
            </w:tcMar>
            <w:vAlign w:val="center"/>
          </w:tcPr>
          <w:p w14:paraId="281267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rPr>
            </w:pPr>
            <w:r>
              <w:rPr>
                <w:rFonts w:hint="default" w:ascii="Times New Roman" w:hAnsi="Times New Roman" w:eastAsia="宋体" w:cs="Times New Roman"/>
                <w:color w:val="000000"/>
                <w:kern w:val="0"/>
                <w:sz w:val="20"/>
                <w:szCs w:val="20"/>
                <w:lang w:val="en-US" w:eastAsia="zh-CN" w:bidi="ar"/>
              </w:rPr>
              <w:t>本年收费金额（单位：万元）</w:t>
            </w:r>
          </w:p>
        </w:tc>
      </w:tr>
      <w:tr w14:paraId="5C9F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2025" w:type="dxa"/>
            <w:noWrap w:val="0"/>
            <w:tcMar>
              <w:left w:w="57" w:type="dxa"/>
              <w:right w:w="57" w:type="dxa"/>
            </w:tcMar>
            <w:vAlign w:val="center"/>
          </w:tcPr>
          <w:p w14:paraId="76A34D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rPr>
            </w:pPr>
            <w:r>
              <w:rPr>
                <w:rFonts w:hint="default" w:ascii="Times New Roman" w:hAnsi="Times New Roman" w:eastAsia="宋体" w:cs="Times New Roman"/>
                <w:color w:val="000000"/>
                <w:kern w:val="0"/>
                <w:sz w:val="20"/>
                <w:szCs w:val="20"/>
                <w:lang w:val="en-US" w:eastAsia="zh-CN" w:bidi="ar"/>
              </w:rPr>
              <w:t>行政事业性收费</w:t>
            </w:r>
          </w:p>
        </w:tc>
        <w:tc>
          <w:tcPr>
            <w:tcW w:w="6075" w:type="dxa"/>
            <w:gridSpan w:val="3"/>
            <w:noWrap w:val="0"/>
            <w:tcMar>
              <w:left w:w="57" w:type="dxa"/>
              <w:right w:w="57" w:type="dxa"/>
            </w:tcMar>
            <w:vAlign w:val="center"/>
          </w:tcPr>
          <w:p w14:paraId="59C320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bl>
    <w:p w14:paraId="29CF78A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三、收到和处理政府信息公开申请情况</w:t>
      </w:r>
    </w:p>
    <w:tbl>
      <w:tblPr>
        <w:tblStyle w:val="4"/>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0"/>
        <w:gridCol w:w="810"/>
        <w:gridCol w:w="2769"/>
        <w:gridCol w:w="591"/>
        <w:gridCol w:w="591"/>
        <w:gridCol w:w="591"/>
        <w:gridCol w:w="591"/>
        <w:gridCol w:w="591"/>
        <w:gridCol w:w="593"/>
        <w:gridCol w:w="592"/>
      </w:tblGrid>
      <w:tr w14:paraId="22825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restart"/>
            <w:noWrap w:val="0"/>
            <w:tcMar>
              <w:left w:w="108" w:type="dxa"/>
              <w:right w:w="108" w:type="dxa"/>
            </w:tcMar>
            <w:vAlign w:val="center"/>
          </w:tcPr>
          <w:p w14:paraId="4D50A9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rPr>
            </w:pPr>
            <w:r>
              <w:rPr>
                <w:rFonts w:hint="default" w:ascii="Times New Roman" w:hAnsi="Times New Roman" w:eastAsia="楷体" w:cs="Times New Roman"/>
                <w:kern w:val="0"/>
                <w:sz w:val="20"/>
                <w:szCs w:val="20"/>
                <w:lang w:val="en-US" w:eastAsia="zh-CN" w:bidi="ar"/>
              </w:rPr>
              <w:t>（本列数据的勾稽关系为：第一项加第二项之和，等于第三项加第四项之和）</w:t>
            </w:r>
          </w:p>
        </w:tc>
        <w:tc>
          <w:tcPr>
            <w:tcW w:w="4140" w:type="dxa"/>
            <w:gridSpan w:val="7"/>
            <w:noWrap w:val="0"/>
            <w:tcMar>
              <w:left w:w="57" w:type="dxa"/>
              <w:right w:w="57" w:type="dxa"/>
            </w:tcMar>
            <w:vAlign w:val="center"/>
          </w:tcPr>
          <w:p w14:paraId="799F29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申请人情况</w:t>
            </w:r>
          </w:p>
        </w:tc>
      </w:tr>
      <w:tr w14:paraId="6B9A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continue"/>
            <w:noWrap w:val="0"/>
            <w:tcMar>
              <w:left w:w="108" w:type="dxa"/>
              <w:right w:w="108" w:type="dxa"/>
            </w:tcMar>
            <w:vAlign w:val="center"/>
          </w:tcPr>
          <w:p w14:paraId="299A58D0">
            <w:pPr>
              <w:rPr>
                <w:rFonts w:hint="default" w:ascii="Times New Roman" w:hAnsi="Times New Roman" w:eastAsia="宋体" w:cs="Times New Roman"/>
                <w:sz w:val="24"/>
                <w:szCs w:val="24"/>
              </w:rPr>
            </w:pPr>
          </w:p>
        </w:tc>
        <w:tc>
          <w:tcPr>
            <w:tcW w:w="591" w:type="dxa"/>
            <w:vMerge w:val="restart"/>
            <w:noWrap w:val="0"/>
            <w:tcMar>
              <w:left w:w="57" w:type="dxa"/>
              <w:right w:w="57" w:type="dxa"/>
            </w:tcMar>
            <w:vAlign w:val="center"/>
          </w:tcPr>
          <w:p w14:paraId="399AB7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自然人</w:t>
            </w:r>
          </w:p>
        </w:tc>
        <w:tc>
          <w:tcPr>
            <w:tcW w:w="2957" w:type="dxa"/>
            <w:gridSpan w:val="5"/>
            <w:noWrap w:val="0"/>
            <w:tcMar>
              <w:left w:w="57" w:type="dxa"/>
              <w:right w:w="57" w:type="dxa"/>
            </w:tcMar>
            <w:vAlign w:val="center"/>
          </w:tcPr>
          <w:p w14:paraId="7AAC2C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法人或其他组织</w:t>
            </w:r>
          </w:p>
        </w:tc>
        <w:tc>
          <w:tcPr>
            <w:tcW w:w="592" w:type="dxa"/>
            <w:vMerge w:val="restart"/>
            <w:noWrap w:val="0"/>
            <w:tcMar>
              <w:left w:w="57" w:type="dxa"/>
              <w:right w:w="57" w:type="dxa"/>
            </w:tcMar>
            <w:vAlign w:val="center"/>
          </w:tcPr>
          <w:p w14:paraId="42DE31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总计</w:t>
            </w:r>
          </w:p>
        </w:tc>
      </w:tr>
      <w:tr w14:paraId="0C66E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4239" w:type="dxa"/>
            <w:gridSpan w:val="3"/>
            <w:vMerge w:val="continue"/>
            <w:noWrap w:val="0"/>
            <w:tcMar>
              <w:left w:w="108" w:type="dxa"/>
              <w:right w:w="108" w:type="dxa"/>
            </w:tcMar>
            <w:vAlign w:val="center"/>
          </w:tcPr>
          <w:p w14:paraId="547CB784">
            <w:pPr>
              <w:rPr>
                <w:rFonts w:hint="default" w:ascii="Times New Roman" w:hAnsi="Times New Roman" w:eastAsia="宋体" w:cs="Times New Roman"/>
                <w:sz w:val="24"/>
                <w:szCs w:val="24"/>
              </w:rPr>
            </w:pPr>
          </w:p>
        </w:tc>
        <w:tc>
          <w:tcPr>
            <w:tcW w:w="591" w:type="dxa"/>
            <w:vMerge w:val="continue"/>
            <w:noWrap w:val="0"/>
            <w:tcMar>
              <w:left w:w="57" w:type="dxa"/>
              <w:right w:w="57" w:type="dxa"/>
            </w:tcMar>
            <w:vAlign w:val="center"/>
          </w:tcPr>
          <w:p w14:paraId="19DB7F42">
            <w:pPr>
              <w:rPr>
                <w:rFonts w:hint="default" w:ascii="Times New Roman" w:hAnsi="Times New Roman" w:eastAsia="宋体" w:cs="Times New Roman"/>
                <w:sz w:val="24"/>
                <w:szCs w:val="24"/>
              </w:rPr>
            </w:pPr>
          </w:p>
        </w:tc>
        <w:tc>
          <w:tcPr>
            <w:tcW w:w="591" w:type="dxa"/>
            <w:noWrap w:val="0"/>
            <w:tcMar>
              <w:left w:w="57" w:type="dxa"/>
              <w:right w:w="57" w:type="dxa"/>
            </w:tcMar>
            <w:vAlign w:val="center"/>
          </w:tcPr>
          <w:p w14:paraId="449EB8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商业</w:t>
            </w:r>
          </w:p>
          <w:p w14:paraId="08A35F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企业</w:t>
            </w:r>
          </w:p>
        </w:tc>
        <w:tc>
          <w:tcPr>
            <w:tcW w:w="591" w:type="dxa"/>
            <w:noWrap w:val="0"/>
            <w:tcMar>
              <w:left w:w="57" w:type="dxa"/>
              <w:right w:w="57" w:type="dxa"/>
            </w:tcMar>
            <w:vAlign w:val="center"/>
          </w:tcPr>
          <w:p w14:paraId="438FB5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科研</w:t>
            </w:r>
          </w:p>
          <w:p w14:paraId="6FC63E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机构</w:t>
            </w:r>
          </w:p>
        </w:tc>
        <w:tc>
          <w:tcPr>
            <w:tcW w:w="591" w:type="dxa"/>
            <w:noWrap w:val="0"/>
            <w:tcMar>
              <w:left w:w="57" w:type="dxa"/>
              <w:right w:w="57" w:type="dxa"/>
            </w:tcMar>
            <w:vAlign w:val="center"/>
          </w:tcPr>
          <w:p w14:paraId="5304D3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社会公益组织</w:t>
            </w:r>
          </w:p>
        </w:tc>
        <w:tc>
          <w:tcPr>
            <w:tcW w:w="591" w:type="dxa"/>
            <w:noWrap w:val="0"/>
            <w:tcMar>
              <w:left w:w="57" w:type="dxa"/>
              <w:right w:w="57" w:type="dxa"/>
            </w:tcMar>
            <w:vAlign w:val="center"/>
          </w:tcPr>
          <w:p w14:paraId="3D1675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法律服务机构</w:t>
            </w:r>
          </w:p>
        </w:tc>
        <w:tc>
          <w:tcPr>
            <w:tcW w:w="593" w:type="dxa"/>
            <w:noWrap w:val="0"/>
            <w:tcMar>
              <w:left w:w="57" w:type="dxa"/>
              <w:right w:w="57" w:type="dxa"/>
            </w:tcMar>
            <w:vAlign w:val="center"/>
          </w:tcPr>
          <w:p w14:paraId="0266E0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其他</w:t>
            </w:r>
          </w:p>
        </w:tc>
        <w:tc>
          <w:tcPr>
            <w:tcW w:w="592" w:type="dxa"/>
            <w:vMerge w:val="continue"/>
            <w:noWrap w:val="0"/>
            <w:tcMar>
              <w:left w:w="57" w:type="dxa"/>
              <w:right w:w="57" w:type="dxa"/>
            </w:tcMar>
            <w:vAlign w:val="center"/>
          </w:tcPr>
          <w:p w14:paraId="009ECB00">
            <w:pPr>
              <w:rPr>
                <w:rFonts w:hint="default" w:ascii="Times New Roman" w:hAnsi="Times New Roman" w:eastAsia="宋体" w:cs="Times New Roman"/>
                <w:sz w:val="24"/>
                <w:szCs w:val="24"/>
              </w:rPr>
            </w:pPr>
          </w:p>
        </w:tc>
      </w:tr>
      <w:tr w14:paraId="6BCAB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14:paraId="41971E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一、本年新收政府信息公开申请数量</w:t>
            </w:r>
          </w:p>
        </w:tc>
        <w:tc>
          <w:tcPr>
            <w:tcW w:w="591" w:type="dxa"/>
            <w:noWrap w:val="0"/>
            <w:tcMar>
              <w:left w:w="57" w:type="dxa"/>
              <w:right w:w="57" w:type="dxa"/>
            </w:tcMar>
            <w:vAlign w:val="center"/>
          </w:tcPr>
          <w:p w14:paraId="112BC3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lang w:val="en-US"/>
              </w:rPr>
            </w:pPr>
            <w:r>
              <w:rPr>
                <w:rFonts w:hint="default" w:ascii="Times New Roman" w:hAnsi="Times New Roman" w:cs="Times New Roman"/>
                <w:kern w:val="0"/>
                <w:sz w:val="20"/>
                <w:szCs w:val="20"/>
                <w:lang w:val="en-US" w:eastAsia="zh-CN" w:bidi="ar"/>
              </w:rPr>
              <w:t>1</w:t>
            </w:r>
          </w:p>
        </w:tc>
        <w:tc>
          <w:tcPr>
            <w:tcW w:w="591" w:type="dxa"/>
            <w:noWrap w:val="0"/>
            <w:tcMar>
              <w:left w:w="57" w:type="dxa"/>
              <w:right w:w="57" w:type="dxa"/>
            </w:tcMar>
            <w:vAlign w:val="center"/>
          </w:tcPr>
          <w:p w14:paraId="24DD61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1DB6B2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09F4E0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12FA3D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lang w:val="en-US"/>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14:paraId="58A078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lang w:val="en-US"/>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top"/>
          </w:tcPr>
          <w:p w14:paraId="6D1211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1</w:t>
            </w:r>
          </w:p>
        </w:tc>
      </w:tr>
      <w:tr w14:paraId="4DB1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14:paraId="6A9412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二、上年结转政府信息公开申请数量</w:t>
            </w:r>
          </w:p>
        </w:tc>
        <w:tc>
          <w:tcPr>
            <w:tcW w:w="591" w:type="dxa"/>
            <w:noWrap w:val="0"/>
            <w:tcMar>
              <w:left w:w="57" w:type="dxa"/>
              <w:right w:w="57" w:type="dxa"/>
            </w:tcMar>
            <w:vAlign w:val="center"/>
          </w:tcPr>
          <w:p w14:paraId="09FC4B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6B7AA1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58DC2A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259B0B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55F69D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lang w:val="en-US"/>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14:paraId="6CCBBC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lang w:val="en-US"/>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top"/>
          </w:tcPr>
          <w:p w14:paraId="1D5A3B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lang w:val="en-US"/>
              </w:rPr>
            </w:pPr>
            <w:r>
              <w:rPr>
                <w:rFonts w:hint="default" w:ascii="Times New Roman" w:hAnsi="Times New Roman" w:cs="Times New Roman"/>
                <w:kern w:val="0"/>
                <w:sz w:val="20"/>
                <w:szCs w:val="20"/>
                <w:lang w:val="en-US" w:eastAsia="zh-CN" w:bidi="ar"/>
              </w:rPr>
              <w:t>0</w:t>
            </w:r>
          </w:p>
        </w:tc>
      </w:tr>
      <w:tr w14:paraId="2E22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restart"/>
            <w:noWrap w:val="0"/>
            <w:tcMar>
              <w:left w:w="57" w:type="dxa"/>
              <w:right w:w="57" w:type="dxa"/>
            </w:tcMar>
            <w:vAlign w:val="center"/>
          </w:tcPr>
          <w:p w14:paraId="31AACB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三、本年度办理结果</w:t>
            </w:r>
          </w:p>
        </w:tc>
        <w:tc>
          <w:tcPr>
            <w:tcW w:w="3579" w:type="dxa"/>
            <w:gridSpan w:val="2"/>
            <w:noWrap w:val="0"/>
            <w:tcMar>
              <w:left w:w="57" w:type="dxa"/>
              <w:right w:w="57" w:type="dxa"/>
            </w:tcMar>
            <w:vAlign w:val="center"/>
          </w:tcPr>
          <w:p w14:paraId="2E17F6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（一）予以公开</w:t>
            </w:r>
          </w:p>
        </w:tc>
        <w:tc>
          <w:tcPr>
            <w:tcW w:w="591" w:type="dxa"/>
            <w:noWrap w:val="0"/>
            <w:tcMar>
              <w:left w:w="57" w:type="dxa"/>
              <w:right w:w="57" w:type="dxa"/>
            </w:tcMar>
            <w:vAlign w:val="center"/>
          </w:tcPr>
          <w:p w14:paraId="0B15A3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lang w:val="en-US"/>
              </w:rPr>
            </w:pPr>
            <w:r>
              <w:rPr>
                <w:rFonts w:hint="default" w:ascii="Times New Roman" w:hAnsi="Times New Roman" w:cs="Times New Roman"/>
                <w:kern w:val="0"/>
                <w:sz w:val="20"/>
                <w:szCs w:val="20"/>
                <w:lang w:val="en-US" w:eastAsia="zh-CN" w:bidi="ar"/>
              </w:rPr>
              <w:t>1</w:t>
            </w:r>
          </w:p>
        </w:tc>
        <w:tc>
          <w:tcPr>
            <w:tcW w:w="591" w:type="dxa"/>
            <w:noWrap w:val="0"/>
            <w:tcMar>
              <w:left w:w="57" w:type="dxa"/>
              <w:right w:w="57" w:type="dxa"/>
            </w:tcMar>
            <w:vAlign w:val="center"/>
          </w:tcPr>
          <w:p w14:paraId="7FCBB0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2D8D39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02A4AD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2D23E7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14:paraId="4BA449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top"/>
          </w:tcPr>
          <w:p w14:paraId="22603A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1</w:t>
            </w:r>
          </w:p>
        </w:tc>
      </w:tr>
      <w:tr w14:paraId="41347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660" w:type="dxa"/>
            <w:vMerge w:val="continue"/>
            <w:noWrap w:val="0"/>
            <w:tcMar>
              <w:left w:w="57" w:type="dxa"/>
              <w:right w:w="57" w:type="dxa"/>
            </w:tcMar>
            <w:vAlign w:val="center"/>
          </w:tcPr>
          <w:p w14:paraId="0F31EC75">
            <w:pPr>
              <w:rPr>
                <w:rFonts w:hint="default" w:ascii="Times New Roman" w:hAnsi="Times New Roman" w:eastAsia="宋体" w:cs="Times New Roman"/>
                <w:sz w:val="24"/>
                <w:szCs w:val="24"/>
              </w:rPr>
            </w:pPr>
          </w:p>
        </w:tc>
        <w:tc>
          <w:tcPr>
            <w:tcW w:w="3579" w:type="dxa"/>
            <w:gridSpan w:val="2"/>
            <w:noWrap w:val="0"/>
            <w:tcMar>
              <w:left w:w="57" w:type="dxa"/>
              <w:right w:w="57" w:type="dxa"/>
            </w:tcMar>
            <w:vAlign w:val="center"/>
          </w:tcPr>
          <w:p w14:paraId="340347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（二）部分公开</w:t>
            </w:r>
            <w:r>
              <w:rPr>
                <w:rFonts w:hint="default" w:ascii="Times New Roman" w:hAnsi="Times New Roman" w:eastAsia="楷体" w:cs="Times New Roman"/>
                <w:kern w:val="0"/>
                <w:sz w:val="20"/>
                <w:szCs w:val="20"/>
                <w:lang w:val="en-US" w:eastAsia="zh-CN" w:bidi="ar"/>
              </w:rPr>
              <w:t>（区分处理的，只计这一情形，不计其他情形）</w:t>
            </w:r>
          </w:p>
        </w:tc>
        <w:tc>
          <w:tcPr>
            <w:tcW w:w="591" w:type="dxa"/>
            <w:noWrap w:val="0"/>
            <w:tcMar>
              <w:left w:w="57" w:type="dxa"/>
              <w:right w:w="57" w:type="dxa"/>
            </w:tcMar>
            <w:vAlign w:val="center"/>
          </w:tcPr>
          <w:p w14:paraId="7E2DD4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14737D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40D487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5B96F2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1E493F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14:paraId="0C9934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14:paraId="4C5459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r>
      <w:tr w14:paraId="5ABC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262143ED">
            <w:pPr>
              <w:rPr>
                <w:rFonts w:hint="default" w:ascii="Times New Roman" w:hAnsi="Times New Roman" w:eastAsia="宋体" w:cs="Times New Roman"/>
                <w:sz w:val="24"/>
                <w:szCs w:val="24"/>
              </w:rPr>
            </w:pPr>
          </w:p>
        </w:tc>
        <w:tc>
          <w:tcPr>
            <w:tcW w:w="810" w:type="dxa"/>
            <w:vMerge w:val="restart"/>
            <w:noWrap w:val="0"/>
            <w:tcMar>
              <w:left w:w="57" w:type="dxa"/>
              <w:right w:w="57" w:type="dxa"/>
            </w:tcMar>
            <w:vAlign w:val="center"/>
          </w:tcPr>
          <w:p w14:paraId="73EB88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（三）不予公开</w:t>
            </w:r>
          </w:p>
        </w:tc>
        <w:tc>
          <w:tcPr>
            <w:tcW w:w="2769" w:type="dxa"/>
            <w:noWrap w:val="0"/>
            <w:tcMar>
              <w:left w:w="57" w:type="dxa"/>
              <w:right w:w="57" w:type="dxa"/>
            </w:tcMar>
            <w:vAlign w:val="top"/>
          </w:tcPr>
          <w:p w14:paraId="7C88DE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1.属于国家秘密</w:t>
            </w:r>
          </w:p>
        </w:tc>
        <w:tc>
          <w:tcPr>
            <w:tcW w:w="591" w:type="dxa"/>
            <w:noWrap w:val="0"/>
            <w:tcMar>
              <w:left w:w="57" w:type="dxa"/>
              <w:right w:w="57" w:type="dxa"/>
            </w:tcMar>
            <w:vAlign w:val="center"/>
          </w:tcPr>
          <w:p w14:paraId="39A2AB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099CE3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2D0638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127C42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15B95E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14:paraId="53EBDF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14:paraId="1F087A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r>
      <w:tr w14:paraId="7F8BF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0DD8CB16">
            <w:pPr>
              <w:rPr>
                <w:rFonts w:hint="default" w:ascii="Times New Roman" w:hAnsi="Times New Roman" w:eastAsia="宋体" w:cs="Times New Roman"/>
                <w:sz w:val="24"/>
                <w:szCs w:val="24"/>
              </w:rPr>
            </w:pPr>
          </w:p>
        </w:tc>
        <w:tc>
          <w:tcPr>
            <w:tcW w:w="810" w:type="dxa"/>
            <w:vMerge w:val="continue"/>
            <w:noWrap w:val="0"/>
            <w:tcMar>
              <w:left w:w="57" w:type="dxa"/>
              <w:right w:w="57" w:type="dxa"/>
            </w:tcMar>
            <w:vAlign w:val="center"/>
          </w:tcPr>
          <w:p w14:paraId="6298DDB6">
            <w:pPr>
              <w:rPr>
                <w:rFonts w:hint="default" w:ascii="Times New Roman" w:hAnsi="Times New Roman" w:eastAsia="宋体" w:cs="Times New Roman"/>
                <w:sz w:val="24"/>
                <w:szCs w:val="24"/>
              </w:rPr>
            </w:pPr>
          </w:p>
        </w:tc>
        <w:tc>
          <w:tcPr>
            <w:tcW w:w="2769" w:type="dxa"/>
            <w:noWrap w:val="0"/>
            <w:tcMar>
              <w:left w:w="57" w:type="dxa"/>
              <w:right w:w="57" w:type="dxa"/>
            </w:tcMar>
            <w:vAlign w:val="top"/>
          </w:tcPr>
          <w:p w14:paraId="3B79C3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2.其他法律行政法规禁止公开</w:t>
            </w:r>
          </w:p>
        </w:tc>
        <w:tc>
          <w:tcPr>
            <w:tcW w:w="591" w:type="dxa"/>
            <w:noWrap w:val="0"/>
            <w:tcMar>
              <w:left w:w="57" w:type="dxa"/>
              <w:right w:w="57" w:type="dxa"/>
            </w:tcMar>
            <w:vAlign w:val="center"/>
          </w:tcPr>
          <w:p w14:paraId="4FFC16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291ACF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7C932A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353BD6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59187D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14:paraId="47D1E9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14:paraId="5B4203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r>
      <w:tr w14:paraId="37CE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1708DA4D">
            <w:pPr>
              <w:rPr>
                <w:rFonts w:hint="default" w:ascii="Times New Roman" w:hAnsi="Times New Roman" w:eastAsia="宋体" w:cs="Times New Roman"/>
                <w:sz w:val="24"/>
                <w:szCs w:val="24"/>
              </w:rPr>
            </w:pPr>
          </w:p>
        </w:tc>
        <w:tc>
          <w:tcPr>
            <w:tcW w:w="810" w:type="dxa"/>
            <w:vMerge w:val="continue"/>
            <w:noWrap w:val="0"/>
            <w:tcMar>
              <w:left w:w="57" w:type="dxa"/>
              <w:right w:w="57" w:type="dxa"/>
            </w:tcMar>
            <w:vAlign w:val="center"/>
          </w:tcPr>
          <w:p w14:paraId="5D9A1A85">
            <w:pPr>
              <w:rPr>
                <w:rFonts w:hint="default" w:ascii="Times New Roman" w:hAnsi="Times New Roman" w:eastAsia="宋体" w:cs="Times New Roman"/>
                <w:sz w:val="24"/>
                <w:szCs w:val="24"/>
              </w:rPr>
            </w:pPr>
          </w:p>
        </w:tc>
        <w:tc>
          <w:tcPr>
            <w:tcW w:w="2769" w:type="dxa"/>
            <w:noWrap w:val="0"/>
            <w:tcMar>
              <w:left w:w="57" w:type="dxa"/>
              <w:right w:w="57" w:type="dxa"/>
            </w:tcMar>
            <w:vAlign w:val="top"/>
          </w:tcPr>
          <w:p w14:paraId="5EFCFE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3.危及“三安全一稳定”</w:t>
            </w:r>
          </w:p>
        </w:tc>
        <w:tc>
          <w:tcPr>
            <w:tcW w:w="591" w:type="dxa"/>
            <w:noWrap w:val="0"/>
            <w:tcMar>
              <w:left w:w="57" w:type="dxa"/>
              <w:right w:w="57" w:type="dxa"/>
            </w:tcMar>
            <w:vAlign w:val="center"/>
          </w:tcPr>
          <w:p w14:paraId="529062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780C69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62111B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53AD9D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7955CF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14:paraId="6792E0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14:paraId="565133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r>
      <w:tr w14:paraId="1B6B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7F2A399C">
            <w:pPr>
              <w:rPr>
                <w:rFonts w:hint="default" w:ascii="Times New Roman" w:hAnsi="Times New Roman" w:eastAsia="宋体" w:cs="Times New Roman"/>
                <w:sz w:val="24"/>
                <w:szCs w:val="24"/>
              </w:rPr>
            </w:pPr>
          </w:p>
        </w:tc>
        <w:tc>
          <w:tcPr>
            <w:tcW w:w="810" w:type="dxa"/>
            <w:vMerge w:val="continue"/>
            <w:noWrap w:val="0"/>
            <w:tcMar>
              <w:left w:w="57" w:type="dxa"/>
              <w:right w:w="57" w:type="dxa"/>
            </w:tcMar>
            <w:vAlign w:val="center"/>
          </w:tcPr>
          <w:p w14:paraId="54448729">
            <w:pPr>
              <w:rPr>
                <w:rFonts w:hint="default" w:ascii="Times New Roman" w:hAnsi="Times New Roman" w:eastAsia="宋体" w:cs="Times New Roman"/>
                <w:sz w:val="24"/>
                <w:szCs w:val="24"/>
              </w:rPr>
            </w:pPr>
          </w:p>
        </w:tc>
        <w:tc>
          <w:tcPr>
            <w:tcW w:w="2769" w:type="dxa"/>
            <w:noWrap w:val="0"/>
            <w:tcMar>
              <w:left w:w="57" w:type="dxa"/>
              <w:right w:w="57" w:type="dxa"/>
            </w:tcMar>
            <w:vAlign w:val="top"/>
          </w:tcPr>
          <w:p w14:paraId="5C5972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4.保护第三方合法权益</w:t>
            </w:r>
          </w:p>
        </w:tc>
        <w:tc>
          <w:tcPr>
            <w:tcW w:w="591" w:type="dxa"/>
            <w:noWrap w:val="0"/>
            <w:tcMar>
              <w:left w:w="57" w:type="dxa"/>
              <w:right w:w="57" w:type="dxa"/>
            </w:tcMar>
            <w:vAlign w:val="center"/>
          </w:tcPr>
          <w:p w14:paraId="25BE39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123381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2D1730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3EB437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38598E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14:paraId="0DC667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14:paraId="44822B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r>
      <w:tr w14:paraId="0B71F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286DC4B7">
            <w:pPr>
              <w:rPr>
                <w:rFonts w:hint="default" w:ascii="Times New Roman" w:hAnsi="Times New Roman" w:eastAsia="宋体" w:cs="Times New Roman"/>
                <w:sz w:val="24"/>
                <w:szCs w:val="24"/>
              </w:rPr>
            </w:pPr>
          </w:p>
        </w:tc>
        <w:tc>
          <w:tcPr>
            <w:tcW w:w="810" w:type="dxa"/>
            <w:vMerge w:val="continue"/>
            <w:noWrap w:val="0"/>
            <w:tcMar>
              <w:left w:w="57" w:type="dxa"/>
              <w:right w:w="57" w:type="dxa"/>
            </w:tcMar>
            <w:vAlign w:val="center"/>
          </w:tcPr>
          <w:p w14:paraId="7FA29B3F">
            <w:pPr>
              <w:rPr>
                <w:rFonts w:hint="default" w:ascii="Times New Roman" w:hAnsi="Times New Roman" w:eastAsia="宋体" w:cs="Times New Roman"/>
                <w:sz w:val="24"/>
                <w:szCs w:val="24"/>
              </w:rPr>
            </w:pPr>
          </w:p>
        </w:tc>
        <w:tc>
          <w:tcPr>
            <w:tcW w:w="2769" w:type="dxa"/>
            <w:noWrap w:val="0"/>
            <w:tcMar>
              <w:left w:w="57" w:type="dxa"/>
              <w:right w:w="57" w:type="dxa"/>
            </w:tcMar>
            <w:vAlign w:val="top"/>
          </w:tcPr>
          <w:p w14:paraId="348920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5.属于三类内部事务信息</w:t>
            </w:r>
          </w:p>
        </w:tc>
        <w:tc>
          <w:tcPr>
            <w:tcW w:w="591" w:type="dxa"/>
            <w:noWrap w:val="0"/>
            <w:tcMar>
              <w:left w:w="57" w:type="dxa"/>
              <w:right w:w="57" w:type="dxa"/>
            </w:tcMar>
            <w:vAlign w:val="center"/>
          </w:tcPr>
          <w:p w14:paraId="4E7B56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62BD92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34EF55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1B8DD9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4DEE2E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14:paraId="6AB708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14:paraId="4B012C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r>
      <w:tr w14:paraId="5B0A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36B46D07">
            <w:pPr>
              <w:rPr>
                <w:rFonts w:hint="default" w:ascii="Times New Roman" w:hAnsi="Times New Roman" w:eastAsia="宋体" w:cs="Times New Roman"/>
                <w:sz w:val="24"/>
                <w:szCs w:val="24"/>
              </w:rPr>
            </w:pPr>
          </w:p>
        </w:tc>
        <w:tc>
          <w:tcPr>
            <w:tcW w:w="810" w:type="dxa"/>
            <w:vMerge w:val="continue"/>
            <w:noWrap w:val="0"/>
            <w:tcMar>
              <w:left w:w="57" w:type="dxa"/>
              <w:right w:w="57" w:type="dxa"/>
            </w:tcMar>
            <w:vAlign w:val="center"/>
          </w:tcPr>
          <w:p w14:paraId="5C481DF1">
            <w:pPr>
              <w:rPr>
                <w:rFonts w:hint="default" w:ascii="Times New Roman" w:hAnsi="Times New Roman" w:eastAsia="宋体" w:cs="Times New Roman"/>
                <w:sz w:val="24"/>
                <w:szCs w:val="24"/>
              </w:rPr>
            </w:pPr>
          </w:p>
        </w:tc>
        <w:tc>
          <w:tcPr>
            <w:tcW w:w="2769" w:type="dxa"/>
            <w:noWrap w:val="0"/>
            <w:tcMar>
              <w:left w:w="57" w:type="dxa"/>
              <w:right w:w="57" w:type="dxa"/>
            </w:tcMar>
            <w:vAlign w:val="top"/>
          </w:tcPr>
          <w:p w14:paraId="0F5B68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6.属于四类过程性信息</w:t>
            </w:r>
          </w:p>
        </w:tc>
        <w:tc>
          <w:tcPr>
            <w:tcW w:w="591" w:type="dxa"/>
            <w:noWrap w:val="0"/>
            <w:tcMar>
              <w:left w:w="57" w:type="dxa"/>
              <w:right w:w="57" w:type="dxa"/>
            </w:tcMar>
            <w:vAlign w:val="center"/>
          </w:tcPr>
          <w:p w14:paraId="0B5509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6E059D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62F64C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332B1A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00A884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14:paraId="769A17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14:paraId="7F7349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r>
      <w:tr w14:paraId="5FFB6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1B5CD10C">
            <w:pPr>
              <w:rPr>
                <w:rFonts w:hint="default" w:ascii="Times New Roman" w:hAnsi="Times New Roman" w:eastAsia="宋体" w:cs="Times New Roman"/>
                <w:sz w:val="24"/>
                <w:szCs w:val="24"/>
              </w:rPr>
            </w:pPr>
          </w:p>
        </w:tc>
        <w:tc>
          <w:tcPr>
            <w:tcW w:w="810" w:type="dxa"/>
            <w:vMerge w:val="continue"/>
            <w:noWrap w:val="0"/>
            <w:tcMar>
              <w:left w:w="57" w:type="dxa"/>
              <w:right w:w="57" w:type="dxa"/>
            </w:tcMar>
            <w:vAlign w:val="center"/>
          </w:tcPr>
          <w:p w14:paraId="2DD1FAA6">
            <w:pPr>
              <w:rPr>
                <w:rFonts w:hint="default" w:ascii="Times New Roman" w:hAnsi="Times New Roman" w:eastAsia="宋体" w:cs="Times New Roman"/>
                <w:sz w:val="24"/>
                <w:szCs w:val="24"/>
              </w:rPr>
            </w:pPr>
          </w:p>
        </w:tc>
        <w:tc>
          <w:tcPr>
            <w:tcW w:w="2769" w:type="dxa"/>
            <w:noWrap w:val="0"/>
            <w:tcMar>
              <w:left w:w="57" w:type="dxa"/>
              <w:right w:w="57" w:type="dxa"/>
            </w:tcMar>
            <w:vAlign w:val="top"/>
          </w:tcPr>
          <w:p w14:paraId="366FE6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7.属于行政执法案卷</w:t>
            </w:r>
          </w:p>
        </w:tc>
        <w:tc>
          <w:tcPr>
            <w:tcW w:w="591" w:type="dxa"/>
            <w:noWrap w:val="0"/>
            <w:tcMar>
              <w:left w:w="57" w:type="dxa"/>
              <w:right w:w="57" w:type="dxa"/>
            </w:tcMar>
            <w:vAlign w:val="center"/>
          </w:tcPr>
          <w:p w14:paraId="66F6D8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0A2155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0F414A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4A069B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3B36AC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14:paraId="76C0B5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14:paraId="387224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r>
      <w:tr w14:paraId="3049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3ACC784C">
            <w:pPr>
              <w:rPr>
                <w:rFonts w:hint="default" w:ascii="Times New Roman" w:hAnsi="Times New Roman" w:eastAsia="宋体" w:cs="Times New Roman"/>
                <w:sz w:val="24"/>
                <w:szCs w:val="24"/>
              </w:rPr>
            </w:pPr>
          </w:p>
        </w:tc>
        <w:tc>
          <w:tcPr>
            <w:tcW w:w="810" w:type="dxa"/>
            <w:vMerge w:val="continue"/>
            <w:noWrap w:val="0"/>
            <w:tcMar>
              <w:left w:w="57" w:type="dxa"/>
              <w:right w:w="57" w:type="dxa"/>
            </w:tcMar>
            <w:vAlign w:val="center"/>
          </w:tcPr>
          <w:p w14:paraId="557BF9E1">
            <w:pPr>
              <w:rPr>
                <w:rFonts w:hint="default" w:ascii="Times New Roman" w:hAnsi="Times New Roman" w:eastAsia="宋体" w:cs="Times New Roman"/>
                <w:sz w:val="24"/>
                <w:szCs w:val="24"/>
              </w:rPr>
            </w:pPr>
          </w:p>
        </w:tc>
        <w:tc>
          <w:tcPr>
            <w:tcW w:w="2769" w:type="dxa"/>
            <w:noWrap w:val="0"/>
            <w:tcMar>
              <w:left w:w="57" w:type="dxa"/>
              <w:right w:w="57" w:type="dxa"/>
            </w:tcMar>
            <w:vAlign w:val="top"/>
          </w:tcPr>
          <w:p w14:paraId="38E10B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8.属于行政查询事项</w:t>
            </w:r>
          </w:p>
        </w:tc>
        <w:tc>
          <w:tcPr>
            <w:tcW w:w="591" w:type="dxa"/>
            <w:noWrap w:val="0"/>
            <w:tcMar>
              <w:left w:w="57" w:type="dxa"/>
              <w:right w:w="57" w:type="dxa"/>
            </w:tcMar>
            <w:vAlign w:val="center"/>
          </w:tcPr>
          <w:p w14:paraId="05BC6D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3908A9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2E30A1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4F391B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099128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14:paraId="142BD7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14:paraId="09EF1D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r>
      <w:tr w14:paraId="25A6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468E77BB">
            <w:pPr>
              <w:rPr>
                <w:rFonts w:hint="default" w:ascii="Times New Roman" w:hAnsi="Times New Roman" w:eastAsia="宋体" w:cs="Times New Roman"/>
                <w:sz w:val="24"/>
                <w:szCs w:val="24"/>
              </w:rPr>
            </w:pPr>
          </w:p>
        </w:tc>
        <w:tc>
          <w:tcPr>
            <w:tcW w:w="810" w:type="dxa"/>
            <w:vMerge w:val="restart"/>
            <w:noWrap w:val="0"/>
            <w:tcMar>
              <w:left w:w="57" w:type="dxa"/>
              <w:right w:w="57" w:type="dxa"/>
            </w:tcMar>
            <w:vAlign w:val="center"/>
          </w:tcPr>
          <w:p w14:paraId="7B4F9C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（四）无法提供</w:t>
            </w:r>
          </w:p>
        </w:tc>
        <w:tc>
          <w:tcPr>
            <w:tcW w:w="2769" w:type="dxa"/>
            <w:noWrap w:val="0"/>
            <w:tcMar>
              <w:left w:w="57" w:type="dxa"/>
              <w:right w:w="57" w:type="dxa"/>
            </w:tcMar>
            <w:vAlign w:val="top"/>
          </w:tcPr>
          <w:p w14:paraId="6DD594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1.本机关不掌握相关政府信息</w:t>
            </w:r>
          </w:p>
        </w:tc>
        <w:tc>
          <w:tcPr>
            <w:tcW w:w="591" w:type="dxa"/>
            <w:noWrap w:val="0"/>
            <w:tcMar>
              <w:left w:w="57" w:type="dxa"/>
              <w:right w:w="57" w:type="dxa"/>
            </w:tcMar>
            <w:vAlign w:val="center"/>
          </w:tcPr>
          <w:p w14:paraId="10343A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489CD7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4A73D5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47E570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2F72AD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14:paraId="15AD02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14:paraId="74419C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r>
      <w:tr w14:paraId="3894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142F2210">
            <w:pPr>
              <w:rPr>
                <w:rFonts w:hint="default" w:ascii="Times New Roman" w:hAnsi="Times New Roman" w:eastAsia="宋体" w:cs="Times New Roman"/>
                <w:sz w:val="24"/>
                <w:szCs w:val="24"/>
              </w:rPr>
            </w:pPr>
          </w:p>
        </w:tc>
        <w:tc>
          <w:tcPr>
            <w:tcW w:w="810" w:type="dxa"/>
            <w:vMerge w:val="continue"/>
            <w:noWrap w:val="0"/>
            <w:tcMar>
              <w:left w:w="57" w:type="dxa"/>
              <w:right w:w="57" w:type="dxa"/>
            </w:tcMar>
            <w:vAlign w:val="center"/>
          </w:tcPr>
          <w:p w14:paraId="27B68538">
            <w:pPr>
              <w:rPr>
                <w:rFonts w:hint="default" w:ascii="Times New Roman" w:hAnsi="Times New Roman" w:eastAsia="宋体" w:cs="Times New Roman"/>
                <w:sz w:val="24"/>
                <w:szCs w:val="24"/>
              </w:rPr>
            </w:pPr>
          </w:p>
        </w:tc>
        <w:tc>
          <w:tcPr>
            <w:tcW w:w="2769" w:type="dxa"/>
            <w:noWrap w:val="0"/>
            <w:tcMar>
              <w:left w:w="57" w:type="dxa"/>
              <w:right w:w="57" w:type="dxa"/>
            </w:tcMar>
            <w:vAlign w:val="top"/>
          </w:tcPr>
          <w:p w14:paraId="7F2E59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2.没有现成信息需要另行制作</w:t>
            </w:r>
          </w:p>
        </w:tc>
        <w:tc>
          <w:tcPr>
            <w:tcW w:w="591" w:type="dxa"/>
            <w:noWrap w:val="0"/>
            <w:tcMar>
              <w:left w:w="57" w:type="dxa"/>
              <w:right w:w="57" w:type="dxa"/>
            </w:tcMar>
            <w:vAlign w:val="center"/>
          </w:tcPr>
          <w:p w14:paraId="276472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0FAB86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55EC08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00F7A4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65626D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14:paraId="03C929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14:paraId="7CC273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r>
      <w:tr w14:paraId="6F63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568C07F8">
            <w:pPr>
              <w:rPr>
                <w:rFonts w:hint="default" w:ascii="Times New Roman" w:hAnsi="Times New Roman" w:eastAsia="宋体" w:cs="Times New Roman"/>
                <w:sz w:val="24"/>
                <w:szCs w:val="24"/>
              </w:rPr>
            </w:pPr>
          </w:p>
        </w:tc>
        <w:tc>
          <w:tcPr>
            <w:tcW w:w="810" w:type="dxa"/>
            <w:vMerge w:val="continue"/>
            <w:noWrap w:val="0"/>
            <w:tcMar>
              <w:left w:w="57" w:type="dxa"/>
              <w:right w:w="57" w:type="dxa"/>
            </w:tcMar>
            <w:vAlign w:val="center"/>
          </w:tcPr>
          <w:p w14:paraId="48EE32F5">
            <w:pPr>
              <w:rPr>
                <w:rFonts w:hint="default" w:ascii="Times New Roman" w:hAnsi="Times New Roman" w:eastAsia="宋体" w:cs="Times New Roman"/>
                <w:sz w:val="24"/>
                <w:szCs w:val="24"/>
              </w:rPr>
            </w:pPr>
          </w:p>
        </w:tc>
        <w:tc>
          <w:tcPr>
            <w:tcW w:w="2769" w:type="dxa"/>
            <w:noWrap w:val="0"/>
            <w:tcMar>
              <w:left w:w="57" w:type="dxa"/>
              <w:right w:w="57" w:type="dxa"/>
            </w:tcMar>
            <w:vAlign w:val="top"/>
          </w:tcPr>
          <w:p w14:paraId="3B04CD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3.补正后申请内容仍不明确</w:t>
            </w:r>
          </w:p>
        </w:tc>
        <w:tc>
          <w:tcPr>
            <w:tcW w:w="591" w:type="dxa"/>
            <w:noWrap w:val="0"/>
            <w:tcMar>
              <w:left w:w="57" w:type="dxa"/>
              <w:right w:w="57" w:type="dxa"/>
            </w:tcMar>
            <w:vAlign w:val="center"/>
          </w:tcPr>
          <w:p w14:paraId="500F8A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5407A1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68BC2F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3E75AC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29BA62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14:paraId="366252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14:paraId="31FF6A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r>
      <w:tr w14:paraId="45E8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7C5CEA57">
            <w:pPr>
              <w:rPr>
                <w:rFonts w:hint="default" w:ascii="Times New Roman" w:hAnsi="Times New Roman" w:eastAsia="宋体" w:cs="Times New Roman"/>
                <w:sz w:val="24"/>
                <w:szCs w:val="24"/>
              </w:rPr>
            </w:pPr>
          </w:p>
        </w:tc>
        <w:tc>
          <w:tcPr>
            <w:tcW w:w="810" w:type="dxa"/>
            <w:vMerge w:val="restart"/>
            <w:noWrap w:val="0"/>
            <w:tcMar>
              <w:left w:w="57" w:type="dxa"/>
              <w:right w:w="57" w:type="dxa"/>
            </w:tcMar>
            <w:vAlign w:val="center"/>
          </w:tcPr>
          <w:p w14:paraId="68B443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（五）不予处理</w:t>
            </w:r>
          </w:p>
        </w:tc>
        <w:tc>
          <w:tcPr>
            <w:tcW w:w="2769" w:type="dxa"/>
            <w:noWrap w:val="0"/>
            <w:tcMar>
              <w:left w:w="57" w:type="dxa"/>
              <w:right w:w="57" w:type="dxa"/>
            </w:tcMar>
            <w:vAlign w:val="top"/>
          </w:tcPr>
          <w:p w14:paraId="05453C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1.信访举报投诉类申请</w:t>
            </w:r>
          </w:p>
        </w:tc>
        <w:tc>
          <w:tcPr>
            <w:tcW w:w="591" w:type="dxa"/>
            <w:noWrap w:val="0"/>
            <w:tcMar>
              <w:left w:w="57" w:type="dxa"/>
              <w:right w:w="57" w:type="dxa"/>
            </w:tcMar>
            <w:vAlign w:val="center"/>
          </w:tcPr>
          <w:p w14:paraId="2ECBB1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4FD01D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36E086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5D059C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201EE8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14:paraId="58A579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14:paraId="5C5C93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r>
      <w:tr w14:paraId="46B6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5BB73347">
            <w:pPr>
              <w:rPr>
                <w:rFonts w:hint="default" w:ascii="Times New Roman" w:hAnsi="Times New Roman" w:eastAsia="宋体" w:cs="Times New Roman"/>
                <w:sz w:val="24"/>
                <w:szCs w:val="24"/>
              </w:rPr>
            </w:pPr>
          </w:p>
        </w:tc>
        <w:tc>
          <w:tcPr>
            <w:tcW w:w="810" w:type="dxa"/>
            <w:vMerge w:val="continue"/>
            <w:noWrap w:val="0"/>
            <w:tcMar>
              <w:left w:w="57" w:type="dxa"/>
              <w:right w:w="57" w:type="dxa"/>
            </w:tcMar>
            <w:vAlign w:val="center"/>
          </w:tcPr>
          <w:p w14:paraId="7C4F604B">
            <w:pPr>
              <w:rPr>
                <w:rFonts w:hint="default" w:ascii="Times New Roman" w:hAnsi="Times New Roman" w:eastAsia="宋体" w:cs="Times New Roman"/>
                <w:sz w:val="24"/>
                <w:szCs w:val="24"/>
              </w:rPr>
            </w:pPr>
          </w:p>
        </w:tc>
        <w:tc>
          <w:tcPr>
            <w:tcW w:w="2769" w:type="dxa"/>
            <w:noWrap w:val="0"/>
            <w:tcMar>
              <w:left w:w="57" w:type="dxa"/>
              <w:right w:w="57" w:type="dxa"/>
            </w:tcMar>
            <w:vAlign w:val="top"/>
          </w:tcPr>
          <w:p w14:paraId="6B94EB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2.重复申请</w:t>
            </w:r>
          </w:p>
        </w:tc>
        <w:tc>
          <w:tcPr>
            <w:tcW w:w="591" w:type="dxa"/>
            <w:noWrap w:val="0"/>
            <w:tcMar>
              <w:left w:w="57" w:type="dxa"/>
              <w:right w:w="57" w:type="dxa"/>
            </w:tcMar>
            <w:vAlign w:val="center"/>
          </w:tcPr>
          <w:p w14:paraId="1279F0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3FC949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13EA15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1724D6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6040BD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14:paraId="1D1A71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14:paraId="652427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r>
      <w:tr w14:paraId="0FDE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24EF4DF4">
            <w:pPr>
              <w:rPr>
                <w:rFonts w:hint="default" w:ascii="Times New Roman" w:hAnsi="Times New Roman" w:eastAsia="宋体" w:cs="Times New Roman"/>
                <w:sz w:val="24"/>
                <w:szCs w:val="24"/>
              </w:rPr>
            </w:pPr>
          </w:p>
        </w:tc>
        <w:tc>
          <w:tcPr>
            <w:tcW w:w="810" w:type="dxa"/>
            <w:vMerge w:val="continue"/>
            <w:noWrap w:val="0"/>
            <w:tcMar>
              <w:left w:w="57" w:type="dxa"/>
              <w:right w:w="57" w:type="dxa"/>
            </w:tcMar>
            <w:vAlign w:val="center"/>
          </w:tcPr>
          <w:p w14:paraId="0ADB5C79">
            <w:pPr>
              <w:rPr>
                <w:rFonts w:hint="default" w:ascii="Times New Roman" w:hAnsi="Times New Roman" w:eastAsia="宋体" w:cs="Times New Roman"/>
                <w:sz w:val="24"/>
                <w:szCs w:val="24"/>
              </w:rPr>
            </w:pPr>
          </w:p>
        </w:tc>
        <w:tc>
          <w:tcPr>
            <w:tcW w:w="2769" w:type="dxa"/>
            <w:noWrap w:val="0"/>
            <w:tcMar>
              <w:left w:w="57" w:type="dxa"/>
              <w:right w:w="57" w:type="dxa"/>
            </w:tcMar>
            <w:vAlign w:val="top"/>
          </w:tcPr>
          <w:p w14:paraId="5F6D31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3.要求提供公开出版物</w:t>
            </w:r>
          </w:p>
        </w:tc>
        <w:tc>
          <w:tcPr>
            <w:tcW w:w="591" w:type="dxa"/>
            <w:noWrap w:val="0"/>
            <w:tcMar>
              <w:left w:w="57" w:type="dxa"/>
              <w:right w:w="57" w:type="dxa"/>
            </w:tcMar>
            <w:vAlign w:val="center"/>
          </w:tcPr>
          <w:p w14:paraId="23F099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3F169F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6B56FA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2A787C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156E07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14:paraId="3B00AA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14:paraId="239175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r>
      <w:tr w14:paraId="50A3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78E0E2B2">
            <w:pPr>
              <w:rPr>
                <w:rFonts w:hint="default" w:ascii="Times New Roman" w:hAnsi="Times New Roman" w:eastAsia="宋体" w:cs="Times New Roman"/>
                <w:sz w:val="24"/>
                <w:szCs w:val="24"/>
              </w:rPr>
            </w:pPr>
          </w:p>
        </w:tc>
        <w:tc>
          <w:tcPr>
            <w:tcW w:w="810" w:type="dxa"/>
            <w:vMerge w:val="continue"/>
            <w:noWrap w:val="0"/>
            <w:tcMar>
              <w:left w:w="57" w:type="dxa"/>
              <w:right w:w="57" w:type="dxa"/>
            </w:tcMar>
            <w:vAlign w:val="center"/>
          </w:tcPr>
          <w:p w14:paraId="27F0D508">
            <w:pPr>
              <w:rPr>
                <w:rFonts w:hint="default" w:ascii="Times New Roman" w:hAnsi="Times New Roman" w:eastAsia="宋体" w:cs="Times New Roman"/>
                <w:sz w:val="24"/>
                <w:szCs w:val="24"/>
              </w:rPr>
            </w:pPr>
          </w:p>
        </w:tc>
        <w:tc>
          <w:tcPr>
            <w:tcW w:w="2769" w:type="dxa"/>
            <w:noWrap w:val="0"/>
            <w:tcMar>
              <w:left w:w="57" w:type="dxa"/>
              <w:right w:w="57" w:type="dxa"/>
            </w:tcMar>
            <w:vAlign w:val="top"/>
          </w:tcPr>
          <w:p w14:paraId="489C20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4.无正当理由大量反复申请</w:t>
            </w:r>
          </w:p>
        </w:tc>
        <w:tc>
          <w:tcPr>
            <w:tcW w:w="591" w:type="dxa"/>
            <w:noWrap w:val="0"/>
            <w:tcMar>
              <w:left w:w="57" w:type="dxa"/>
              <w:right w:w="57" w:type="dxa"/>
            </w:tcMar>
            <w:vAlign w:val="center"/>
          </w:tcPr>
          <w:p w14:paraId="4616D7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4BC59E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16DD8A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629E3C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1A28F6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14:paraId="025393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14:paraId="25FF63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r>
      <w:tr w14:paraId="1987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660" w:type="dxa"/>
            <w:vMerge w:val="continue"/>
            <w:noWrap w:val="0"/>
            <w:tcMar>
              <w:left w:w="57" w:type="dxa"/>
              <w:right w:w="57" w:type="dxa"/>
            </w:tcMar>
            <w:vAlign w:val="center"/>
          </w:tcPr>
          <w:p w14:paraId="5BE0A162">
            <w:pPr>
              <w:rPr>
                <w:rFonts w:hint="default" w:ascii="Times New Roman" w:hAnsi="Times New Roman" w:eastAsia="宋体" w:cs="Times New Roman"/>
                <w:sz w:val="24"/>
                <w:szCs w:val="24"/>
              </w:rPr>
            </w:pPr>
          </w:p>
        </w:tc>
        <w:tc>
          <w:tcPr>
            <w:tcW w:w="810" w:type="dxa"/>
            <w:vMerge w:val="continue"/>
            <w:noWrap w:val="0"/>
            <w:tcMar>
              <w:left w:w="57" w:type="dxa"/>
              <w:right w:w="57" w:type="dxa"/>
            </w:tcMar>
            <w:vAlign w:val="center"/>
          </w:tcPr>
          <w:p w14:paraId="772746FF">
            <w:pPr>
              <w:rPr>
                <w:rFonts w:hint="default" w:ascii="Times New Roman" w:hAnsi="Times New Roman" w:eastAsia="宋体" w:cs="Times New Roman"/>
                <w:sz w:val="24"/>
                <w:szCs w:val="24"/>
              </w:rPr>
            </w:pPr>
          </w:p>
        </w:tc>
        <w:tc>
          <w:tcPr>
            <w:tcW w:w="2769" w:type="dxa"/>
            <w:noWrap w:val="0"/>
            <w:tcMar>
              <w:left w:w="57" w:type="dxa"/>
              <w:right w:w="57" w:type="dxa"/>
            </w:tcMar>
            <w:vAlign w:val="center"/>
          </w:tcPr>
          <w:p w14:paraId="26B996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5.要求行政机关确认或重新出具已获取信息</w:t>
            </w:r>
          </w:p>
        </w:tc>
        <w:tc>
          <w:tcPr>
            <w:tcW w:w="591" w:type="dxa"/>
            <w:noWrap w:val="0"/>
            <w:tcMar>
              <w:left w:w="57" w:type="dxa"/>
              <w:right w:w="57" w:type="dxa"/>
            </w:tcMar>
            <w:vAlign w:val="center"/>
          </w:tcPr>
          <w:p w14:paraId="3958BA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064765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69375F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529E17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53D1E1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14:paraId="33CB6B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14:paraId="68EC13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r>
      <w:tr w14:paraId="6943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14:paraId="6E4A96F1">
            <w:pPr>
              <w:rPr>
                <w:rFonts w:hint="default" w:ascii="Times New Roman" w:hAnsi="Times New Roman" w:eastAsia="宋体" w:cs="Times New Roman"/>
                <w:sz w:val="24"/>
                <w:szCs w:val="24"/>
              </w:rPr>
            </w:pPr>
          </w:p>
        </w:tc>
        <w:tc>
          <w:tcPr>
            <w:tcW w:w="810" w:type="dxa"/>
            <w:vMerge w:val="restart"/>
            <w:noWrap w:val="0"/>
            <w:tcMar>
              <w:left w:w="57" w:type="dxa"/>
              <w:right w:w="57" w:type="dxa"/>
            </w:tcMar>
            <w:vAlign w:val="center"/>
          </w:tcPr>
          <w:p w14:paraId="1B73C1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（六）其他处理</w:t>
            </w:r>
          </w:p>
        </w:tc>
        <w:tc>
          <w:tcPr>
            <w:tcW w:w="2769" w:type="dxa"/>
            <w:noWrap w:val="0"/>
            <w:tcMar>
              <w:left w:w="57" w:type="dxa"/>
              <w:right w:w="57" w:type="dxa"/>
            </w:tcMar>
            <w:vAlign w:val="center"/>
          </w:tcPr>
          <w:p w14:paraId="776610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1.申请人无正当理由逾期不补正、行政机关不再处理其政府信息公开申请</w:t>
            </w:r>
          </w:p>
        </w:tc>
        <w:tc>
          <w:tcPr>
            <w:tcW w:w="591" w:type="dxa"/>
            <w:noWrap w:val="0"/>
            <w:tcMar>
              <w:left w:w="57" w:type="dxa"/>
              <w:right w:w="57" w:type="dxa"/>
            </w:tcMar>
            <w:vAlign w:val="center"/>
          </w:tcPr>
          <w:p w14:paraId="35C7B5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07942D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701749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7BAA39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0139ED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14:paraId="0B63A7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14:paraId="506F07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r>
      <w:tr w14:paraId="73D7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14:paraId="2CFD5912">
            <w:pPr>
              <w:rPr>
                <w:rFonts w:hint="default" w:ascii="Times New Roman" w:hAnsi="Times New Roman" w:eastAsia="宋体" w:cs="Times New Roman"/>
                <w:sz w:val="24"/>
                <w:szCs w:val="24"/>
              </w:rPr>
            </w:pPr>
          </w:p>
        </w:tc>
        <w:tc>
          <w:tcPr>
            <w:tcW w:w="810" w:type="dxa"/>
            <w:vMerge w:val="continue"/>
            <w:noWrap w:val="0"/>
            <w:tcMar>
              <w:left w:w="57" w:type="dxa"/>
              <w:right w:w="57" w:type="dxa"/>
            </w:tcMar>
            <w:vAlign w:val="center"/>
          </w:tcPr>
          <w:p w14:paraId="1FC2C12C">
            <w:pPr>
              <w:rPr>
                <w:rFonts w:hint="default" w:ascii="Times New Roman" w:hAnsi="Times New Roman" w:eastAsia="宋体" w:cs="Times New Roman"/>
                <w:sz w:val="24"/>
                <w:szCs w:val="24"/>
              </w:rPr>
            </w:pPr>
          </w:p>
        </w:tc>
        <w:tc>
          <w:tcPr>
            <w:tcW w:w="2769" w:type="dxa"/>
            <w:noWrap w:val="0"/>
            <w:tcMar>
              <w:left w:w="57" w:type="dxa"/>
              <w:right w:w="57" w:type="dxa"/>
            </w:tcMar>
            <w:vAlign w:val="center"/>
          </w:tcPr>
          <w:p w14:paraId="1EDE84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2.申请人逾期未按收费通知要求缴纳费用、行政机关不再处理其政府信息公开申请</w:t>
            </w:r>
          </w:p>
        </w:tc>
        <w:tc>
          <w:tcPr>
            <w:tcW w:w="591" w:type="dxa"/>
            <w:noWrap w:val="0"/>
            <w:tcMar>
              <w:left w:w="57" w:type="dxa"/>
              <w:right w:w="57" w:type="dxa"/>
            </w:tcMar>
            <w:vAlign w:val="center"/>
          </w:tcPr>
          <w:p w14:paraId="0076CA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224BEF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486CEB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18098C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32B664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14:paraId="0669D2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14:paraId="0CD871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r>
      <w:tr w14:paraId="5FC8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61ACF363">
            <w:pPr>
              <w:rPr>
                <w:rFonts w:hint="default" w:ascii="Times New Roman" w:hAnsi="Times New Roman" w:eastAsia="宋体" w:cs="Times New Roman"/>
                <w:sz w:val="24"/>
                <w:szCs w:val="24"/>
              </w:rPr>
            </w:pPr>
          </w:p>
        </w:tc>
        <w:tc>
          <w:tcPr>
            <w:tcW w:w="810" w:type="dxa"/>
            <w:vMerge w:val="continue"/>
            <w:noWrap w:val="0"/>
            <w:tcMar>
              <w:left w:w="57" w:type="dxa"/>
              <w:right w:w="57" w:type="dxa"/>
            </w:tcMar>
            <w:vAlign w:val="center"/>
          </w:tcPr>
          <w:p w14:paraId="4D55A5FB">
            <w:pPr>
              <w:rPr>
                <w:rFonts w:hint="default" w:ascii="Times New Roman" w:hAnsi="Times New Roman" w:eastAsia="宋体" w:cs="Times New Roman"/>
                <w:sz w:val="24"/>
                <w:szCs w:val="24"/>
              </w:rPr>
            </w:pPr>
          </w:p>
        </w:tc>
        <w:tc>
          <w:tcPr>
            <w:tcW w:w="2769" w:type="dxa"/>
            <w:noWrap w:val="0"/>
            <w:tcMar>
              <w:left w:w="57" w:type="dxa"/>
              <w:right w:w="57" w:type="dxa"/>
            </w:tcMar>
            <w:vAlign w:val="center"/>
          </w:tcPr>
          <w:p w14:paraId="74B376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3.其他</w:t>
            </w:r>
          </w:p>
        </w:tc>
        <w:tc>
          <w:tcPr>
            <w:tcW w:w="591" w:type="dxa"/>
            <w:noWrap w:val="0"/>
            <w:tcMar>
              <w:left w:w="57" w:type="dxa"/>
              <w:right w:w="57" w:type="dxa"/>
            </w:tcMar>
            <w:vAlign w:val="center"/>
          </w:tcPr>
          <w:p w14:paraId="29F5B3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0809BD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023CCE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56A2DE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042B5E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14:paraId="3F0B48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14:paraId="33D3BF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r>
      <w:tr w14:paraId="2D4F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4991BFAB">
            <w:pPr>
              <w:rPr>
                <w:rFonts w:hint="default" w:ascii="Times New Roman" w:hAnsi="Times New Roman" w:eastAsia="宋体" w:cs="Times New Roman"/>
                <w:sz w:val="24"/>
                <w:szCs w:val="24"/>
              </w:rPr>
            </w:pPr>
          </w:p>
        </w:tc>
        <w:tc>
          <w:tcPr>
            <w:tcW w:w="3579" w:type="dxa"/>
            <w:gridSpan w:val="2"/>
            <w:noWrap w:val="0"/>
            <w:tcMar>
              <w:left w:w="57" w:type="dxa"/>
              <w:right w:w="57" w:type="dxa"/>
            </w:tcMar>
            <w:vAlign w:val="center"/>
          </w:tcPr>
          <w:p w14:paraId="761E05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（七）总计</w:t>
            </w:r>
          </w:p>
        </w:tc>
        <w:tc>
          <w:tcPr>
            <w:tcW w:w="591" w:type="dxa"/>
            <w:noWrap w:val="0"/>
            <w:tcMar>
              <w:left w:w="57" w:type="dxa"/>
              <w:right w:w="57" w:type="dxa"/>
            </w:tcMar>
            <w:vAlign w:val="center"/>
          </w:tcPr>
          <w:p w14:paraId="4B44D8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1</w:t>
            </w:r>
          </w:p>
        </w:tc>
        <w:tc>
          <w:tcPr>
            <w:tcW w:w="591" w:type="dxa"/>
            <w:noWrap w:val="0"/>
            <w:tcMar>
              <w:left w:w="57" w:type="dxa"/>
              <w:right w:w="57" w:type="dxa"/>
            </w:tcMar>
            <w:vAlign w:val="center"/>
          </w:tcPr>
          <w:p w14:paraId="207468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3C9EE8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768B93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52C37A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14:paraId="624C3F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14:paraId="341F48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1</w:t>
            </w:r>
          </w:p>
        </w:tc>
      </w:tr>
      <w:tr w14:paraId="798A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4239" w:type="dxa"/>
            <w:gridSpan w:val="3"/>
            <w:noWrap w:val="0"/>
            <w:tcMar>
              <w:left w:w="57" w:type="dxa"/>
              <w:right w:w="57" w:type="dxa"/>
            </w:tcMar>
            <w:vAlign w:val="center"/>
          </w:tcPr>
          <w:p w14:paraId="7F70C4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四、结转下年度继续办理</w:t>
            </w:r>
          </w:p>
        </w:tc>
        <w:tc>
          <w:tcPr>
            <w:tcW w:w="591" w:type="dxa"/>
            <w:noWrap w:val="0"/>
            <w:tcMar>
              <w:left w:w="57" w:type="dxa"/>
              <w:right w:w="57" w:type="dxa"/>
            </w:tcMar>
            <w:vAlign w:val="center"/>
          </w:tcPr>
          <w:p w14:paraId="353D16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491949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08DC6F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1E0412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14:paraId="010DE8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14:paraId="6A0EF9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14:paraId="745DC7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sz w:val="24"/>
                <w:szCs w:val="24"/>
              </w:rPr>
            </w:pPr>
            <w:r>
              <w:rPr>
                <w:rFonts w:hint="default" w:ascii="Times New Roman" w:hAnsi="Times New Roman" w:cs="Times New Roman"/>
                <w:kern w:val="0"/>
                <w:sz w:val="20"/>
                <w:szCs w:val="20"/>
                <w:lang w:val="en-US" w:eastAsia="zh-CN" w:bidi="ar"/>
              </w:rPr>
              <w:t>0</w:t>
            </w:r>
          </w:p>
        </w:tc>
      </w:tr>
    </w:tbl>
    <w:p w14:paraId="18DD84D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四、政府信息公开行政复议、行政诉讼情况</w:t>
      </w:r>
    </w:p>
    <w:tbl>
      <w:tblPr>
        <w:tblStyle w:val="4"/>
        <w:tblW w:w="7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19"/>
        <w:gridCol w:w="519"/>
        <w:gridCol w:w="519"/>
        <w:gridCol w:w="519"/>
        <w:gridCol w:w="520"/>
        <w:gridCol w:w="519"/>
        <w:gridCol w:w="519"/>
        <w:gridCol w:w="520"/>
        <w:gridCol w:w="520"/>
        <w:gridCol w:w="520"/>
        <w:gridCol w:w="520"/>
        <w:gridCol w:w="520"/>
        <w:gridCol w:w="520"/>
        <w:gridCol w:w="520"/>
        <w:gridCol w:w="525"/>
      </w:tblGrid>
      <w:tr w14:paraId="18CE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2596" w:type="dxa"/>
            <w:gridSpan w:val="5"/>
            <w:noWrap w:val="0"/>
            <w:tcMar>
              <w:left w:w="108" w:type="dxa"/>
              <w:right w:w="108" w:type="dxa"/>
            </w:tcMar>
            <w:vAlign w:val="center"/>
          </w:tcPr>
          <w:p w14:paraId="5275FB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行政复议</w:t>
            </w:r>
          </w:p>
        </w:tc>
        <w:tc>
          <w:tcPr>
            <w:tcW w:w="5203" w:type="dxa"/>
            <w:gridSpan w:val="10"/>
            <w:noWrap w:val="0"/>
            <w:tcMar>
              <w:left w:w="108" w:type="dxa"/>
              <w:right w:w="108" w:type="dxa"/>
            </w:tcMar>
            <w:vAlign w:val="center"/>
          </w:tcPr>
          <w:p w14:paraId="2B4E25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行政诉讼</w:t>
            </w:r>
          </w:p>
        </w:tc>
      </w:tr>
      <w:tr w14:paraId="0693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19" w:type="dxa"/>
            <w:vMerge w:val="restart"/>
            <w:noWrap w:val="0"/>
            <w:tcMar>
              <w:left w:w="108" w:type="dxa"/>
              <w:right w:w="108" w:type="dxa"/>
            </w:tcMar>
            <w:vAlign w:val="center"/>
          </w:tcPr>
          <w:p w14:paraId="06476E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结果维持</w:t>
            </w:r>
          </w:p>
        </w:tc>
        <w:tc>
          <w:tcPr>
            <w:tcW w:w="519" w:type="dxa"/>
            <w:vMerge w:val="restart"/>
            <w:noWrap w:val="0"/>
            <w:tcMar>
              <w:left w:w="108" w:type="dxa"/>
              <w:right w:w="108" w:type="dxa"/>
            </w:tcMar>
            <w:vAlign w:val="center"/>
          </w:tcPr>
          <w:p w14:paraId="31BFE5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结果</w:t>
            </w:r>
          </w:p>
          <w:p w14:paraId="1C707C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纠正</w:t>
            </w:r>
          </w:p>
        </w:tc>
        <w:tc>
          <w:tcPr>
            <w:tcW w:w="519" w:type="dxa"/>
            <w:vMerge w:val="restart"/>
            <w:noWrap w:val="0"/>
            <w:tcMar>
              <w:left w:w="108" w:type="dxa"/>
              <w:right w:w="108" w:type="dxa"/>
            </w:tcMar>
            <w:vAlign w:val="center"/>
          </w:tcPr>
          <w:p w14:paraId="5D66EC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其他</w:t>
            </w:r>
          </w:p>
          <w:p w14:paraId="4916F9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结果</w:t>
            </w:r>
          </w:p>
        </w:tc>
        <w:tc>
          <w:tcPr>
            <w:tcW w:w="519" w:type="dxa"/>
            <w:vMerge w:val="restart"/>
            <w:noWrap w:val="0"/>
            <w:tcMar>
              <w:left w:w="108" w:type="dxa"/>
              <w:right w:w="108" w:type="dxa"/>
            </w:tcMar>
            <w:vAlign w:val="center"/>
          </w:tcPr>
          <w:p w14:paraId="4913F6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尚未</w:t>
            </w:r>
          </w:p>
          <w:p w14:paraId="4C8A25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审结</w:t>
            </w:r>
          </w:p>
        </w:tc>
        <w:tc>
          <w:tcPr>
            <w:tcW w:w="520" w:type="dxa"/>
            <w:vMerge w:val="restart"/>
            <w:noWrap w:val="0"/>
            <w:tcMar>
              <w:left w:w="108" w:type="dxa"/>
              <w:right w:w="108" w:type="dxa"/>
            </w:tcMar>
            <w:vAlign w:val="center"/>
          </w:tcPr>
          <w:p w14:paraId="2CCB8B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总计</w:t>
            </w:r>
          </w:p>
        </w:tc>
        <w:tc>
          <w:tcPr>
            <w:tcW w:w="2598" w:type="dxa"/>
            <w:gridSpan w:val="5"/>
            <w:noWrap w:val="0"/>
            <w:tcMar>
              <w:left w:w="108" w:type="dxa"/>
              <w:right w:w="108" w:type="dxa"/>
            </w:tcMar>
            <w:vAlign w:val="center"/>
          </w:tcPr>
          <w:p w14:paraId="2228FD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未经复议直接起诉</w:t>
            </w:r>
          </w:p>
        </w:tc>
        <w:tc>
          <w:tcPr>
            <w:tcW w:w="2605" w:type="dxa"/>
            <w:gridSpan w:val="5"/>
            <w:noWrap w:val="0"/>
            <w:tcMar>
              <w:left w:w="108" w:type="dxa"/>
              <w:right w:w="108" w:type="dxa"/>
            </w:tcMar>
            <w:vAlign w:val="center"/>
          </w:tcPr>
          <w:p w14:paraId="78B487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复议后起诉</w:t>
            </w:r>
          </w:p>
        </w:tc>
      </w:tr>
      <w:tr w14:paraId="3650A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19" w:type="dxa"/>
            <w:vMerge w:val="continue"/>
            <w:noWrap w:val="0"/>
            <w:tcMar>
              <w:left w:w="108" w:type="dxa"/>
              <w:right w:w="108" w:type="dxa"/>
            </w:tcMar>
            <w:vAlign w:val="center"/>
          </w:tcPr>
          <w:p w14:paraId="4E549215">
            <w:pPr>
              <w:rPr>
                <w:rFonts w:hint="default" w:ascii="Times New Roman" w:hAnsi="Times New Roman" w:eastAsia="宋体" w:cs="Times New Roman"/>
                <w:sz w:val="24"/>
                <w:szCs w:val="24"/>
              </w:rPr>
            </w:pPr>
          </w:p>
        </w:tc>
        <w:tc>
          <w:tcPr>
            <w:tcW w:w="519" w:type="dxa"/>
            <w:vMerge w:val="continue"/>
            <w:noWrap w:val="0"/>
            <w:tcMar>
              <w:left w:w="108" w:type="dxa"/>
              <w:right w:w="108" w:type="dxa"/>
            </w:tcMar>
            <w:vAlign w:val="center"/>
          </w:tcPr>
          <w:p w14:paraId="2E100C1D">
            <w:pPr>
              <w:rPr>
                <w:rFonts w:hint="default" w:ascii="Times New Roman" w:hAnsi="Times New Roman" w:eastAsia="宋体" w:cs="Times New Roman"/>
                <w:sz w:val="24"/>
                <w:szCs w:val="24"/>
              </w:rPr>
            </w:pPr>
          </w:p>
        </w:tc>
        <w:tc>
          <w:tcPr>
            <w:tcW w:w="519" w:type="dxa"/>
            <w:vMerge w:val="continue"/>
            <w:noWrap w:val="0"/>
            <w:tcMar>
              <w:left w:w="108" w:type="dxa"/>
              <w:right w:w="108" w:type="dxa"/>
            </w:tcMar>
            <w:vAlign w:val="center"/>
          </w:tcPr>
          <w:p w14:paraId="3CC9E152">
            <w:pPr>
              <w:rPr>
                <w:rFonts w:hint="default" w:ascii="Times New Roman" w:hAnsi="Times New Roman" w:eastAsia="宋体" w:cs="Times New Roman"/>
                <w:sz w:val="24"/>
                <w:szCs w:val="24"/>
              </w:rPr>
            </w:pPr>
          </w:p>
        </w:tc>
        <w:tc>
          <w:tcPr>
            <w:tcW w:w="519" w:type="dxa"/>
            <w:vMerge w:val="continue"/>
            <w:noWrap w:val="0"/>
            <w:tcMar>
              <w:left w:w="108" w:type="dxa"/>
              <w:right w:w="108" w:type="dxa"/>
            </w:tcMar>
            <w:vAlign w:val="center"/>
          </w:tcPr>
          <w:p w14:paraId="0130CB66">
            <w:pPr>
              <w:rPr>
                <w:rFonts w:hint="default" w:ascii="Times New Roman" w:hAnsi="Times New Roman" w:eastAsia="宋体" w:cs="Times New Roman"/>
                <w:sz w:val="24"/>
                <w:szCs w:val="24"/>
              </w:rPr>
            </w:pPr>
          </w:p>
        </w:tc>
        <w:tc>
          <w:tcPr>
            <w:tcW w:w="520" w:type="dxa"/>
            <w:vMerge w:val="continue"/>
            <w:noWrap w:val="0"/>
            <w:tcMar>
              <w:left w:w="108" w:type="dxa"/>
              <w:right w:w="108" w:type="dxa"/>
            </w:tcMar>
            <w:vAlign w:val="center"/>
          </w:tcPr>
          <w:p w14:paraId="4DED2298">
            <w:pPr>
              <w:rPr>
                <w:rFonts w:hint="default" w:ascii="Times New Roman" w:hAnsi="Times New Roman" w:eastAsia="宋体" w:cs="Times New Roman"/>
                <w:sz w:val="24"/>
                <w:szCs w:val="24"/>
              </w:rPr>
            </w:pPr>
          </w:p>
        </w:tc>
        <w:tc>
          <w:tcPr>
            <w:tcW w:w="519" w:type="dxa"/>
            <w:noWrap w:val="0"/>
            <w:tcMar>
              <w:left w:w="108" w:type="dxa"/>
              <w:right w:w="108" w:type="dxa"/>
            </w:tcMar>
            <w:vAlign w:val="center"/>
          </w:tcPr>
          <w:p w14:paraId="0D3465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结果</w:t>
            </w:r>
          </w:p>
          <w:p w14:paraId="38A7E5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维持</w:t>
            </w:r>
          </w:p>
        </w:tc>
        <w:tc>
          <w:tcPr>
            <w:tcW w:w="519" w:type="dxa"/>
            <w:noWrap w:val="0"/>
            <w:tcMar>
              <w:left w:w="108" w:type="dxa"/>
              <w:right w:w="108" w:type="dxa"/>
            </w:tcMar>
            <w:vAlign w:val="center"/>
          </w:tcPr>
          <w:p w14:paraId="46E5B5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结果</w:t>
            </w:r>
          </w:p>
          <w:p w14:paraId="6D86E3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纠正</w:t>
            </w:r>
          </w:p>
        </w:tc>
        <w:tc>
          <w:tcPr>
            <w:tcW w:w="520" w:type="dxa"/>
            <w:noWrap w:val="0"/>
            <w:tcMar>
              <w:left w:w="108" w:type="dxa"/>
              <w:right w:w="108" w:type="dxa"/>
            </w:tcMar>
            <w:vAlign w:val="center"/>
          </w:tcPr>
          <w:p w14:paraId="534C8F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其他</w:t>
            </w:r>
          </w:p>
          <w:p w14:paraId="1CB974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结果</w:t>
            </w:r>
          </w:p>
        </w:tc>
        <w:tc>
          <w:tcPr>
            <w:tcW w:w="520" w:type="dxa"/>
            <w:noWrap w:val="0"/>
            <w:tcMar>
              <w:left w:w="108" w:type="dxa"/>
              <w:right w:w="108" w:type="dxa"/>
            </w:tcMar>
            <w:vAlign w:val="center"/>
          </w:tcPr>
          <w:p w14:paraId="6578D2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尚未</w:t>
            </w:r>
          </w:p>
          <w:p w14:paraId="64DE6B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审结</w:t>
            </w:r>
          </w:p>
        </w:tc>
        <w:tc>
          <w:tcPr>
            <w:tcW w:w="520" w:type="dxa"/>
            <w:noWrap w:val="0"/>
            <w:tcMar>
              <w:left w:w="108" w:type="dxa"/>
              <w:right w:w="108" w:type="dxa"/>
            </w:tcMar>
            <w:vAlign w:val="center"/>
          </w:tcPr>
          <w:p w14:paraId="2B3A0F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rPr>
            </w:pPr>
            <w:r>
              <w:rPr>
                <w:rFonts w:hint="default" w:ascii="Times New Roman" w:hAnsi="Times New Roman" w:eastAsia="宋体" w:cs="Times New Roman"/>
                <w:color w:val="000000"/>
                <w:kern w:val="0"/>
                <w:sz w:val="20"/>
                <w:szCs w:val="20"/>
                <w:lang w:val="en-US" w:eastAsia="zh-CN" w:bidi="ar"/>
              </w:rPr>
              <w:t>总计</w:t>
            </w:r>
          </w:p>
        </w:tc>
        <w:tc>
          <w:tcPr>
            <w:tcW w:w="520" w:type="dxa"/>
            <w:noWrap w:val="0"/>
            <w:tcMar>
              <w:left w:w="108" w:type="dxa"/>
              <w:right w:w="108" w:type="dxa"/>
            </w:tcMar>
            <w:vAlign w:val="center"/>
          </w:tcPr>
          <w:p w14:paraId="151308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结果</w:t>
            </w:r>
          </w:p>
          <w:p w14:paraId="10436F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维持</w:t>
            </w:r>
          </w:p>
        </w:tc>
        <w:tc>
          <w:tcPr>
            <w:tcW w:w="520" w:type="dxa"/>
            <w:noWrap w:val="0"/>
            <w:tcMar>
              <w:left w:w="108" w:type="dxa"/>
              <w:right w:w="108" w:type="dxa"/>
            </w:tcMar>
            <w:vAlign w:val="center"/>
          </w:tcPr>
          <w:p w14:paraId="5627EE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结果</w:t>
            </w:r>
          </w:p>
          <w:p w14:paraId="77063D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纠正</w:t>
            </w:r>
          </w:p>
        </w:tc>
        <w:tc>
          <w:tcPr>
            <w:tcW w:w="520" w:type="dxa"/>
            <w:noWrap w:val="0"/>
            <w:tcMar>
              <w:left w:w="108" w:type="dxa"/>
              <w:right w:w="108" w:type="dxa"/>
            </w:tcMar>
            <w:vAlign w:val="center"/>
          </w:tcPr>
          <w:p w14:paraId="1BB00B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其他</w:t>
            </w:r>
          </w:p>
          <w:p w14:paraId="01F765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rPr>
            </w:pPr>
            <w:r>
              <w:rPr>
                <w:rFonts w:hint="default" w:ascii="Times New Roman" w:hAnsi="Times New Roman" w:eastAsia="宋体" w:cs="Times New Roman"/>
                <w:color w:val="000000"/>
                <w:kern w:val="0"/>
                <w:sz w:val="20"/>
                <w:szCs w:val="20"/>
                <w:lang w:val="en-US" w:eastAsia="zh-CN" w:bidi="ar"/>
              </w:rPr>
              <w:t>结果</w:t>
            </w:r>
          </w:p>
        </w:tc>
        <w:tc>
          <w:tcPr>
            <w:tcW w:w="520" w:type="dxa"/>
            <w:noWrap w:val="0"/>
            <w:tcMar>
              <w:left w:w="108" w:type="dxa"/>
              <w:right w:w="108" w:type="dxa"/>
            </w:tcMar>
            <w:vAlign w:val="center"/>
          </w:tcPr>
          <w:p w14:paraId="62F4EC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尚未</w:t>
            </w:r>
          </w:p>
          <w:p w14:paraId="51AE39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审结</w:t>
            </w:r>
          </w:p>
        </w:tc>
        <w:tc>
          <w:tcPr>
            <w:tcW w:w="525" w:type="dxa"/>
            <w:noWrap w:val="0"/>
            <w:tcMar>
              <w:left w:w="108" w:type="dxa"/>
              <w:right w:w="108" w:type="dxa"/>
            </w:tcMar>
            <w:vAlign w:val="center"/>
          </w:tcPr>
          <w:p w14:paraId="2B0D17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rPr>
            </w:pPr>
            <w:r>
              <w:rPr>
                <w:rFonts w:hint="default" w:ascii="Times New Roman" w:hAnsi="Times New Roman" w:eastAsia="宋体" w:cs="Times New Roman"/>
                <w:color w:val="000000"/>
                <w:kern w:val="0"/>
                <w:sz w:val="20"/>
                <w:szCs w:val="20"/>
                <w:lang w:val="en-US" w:eastAsia="zh-CN" w:bidi="ar"/>
              </w:rPr>
              <w:t>总计</w:t>
            </w:r>
          </w:p>
        </w:tc>
      </w:tr>
      <w:tr w14:paraId="6A4DD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519" w:type="dxa"/>
            <w:noWrap w:val="0"/>
            <w:tcMar>
              <w:left w:w="108" w:type="dxa"/>
              <w:right w:w="108" w:type="dxa"/>
            </w:tcMar>
            <w:vAlign w:val="center"/>
          </w:tcPr>
          <w:p w14:paraId="28146D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19" w:type="dxa"/>
            <w:noWrap w:val="0"/>
            <w:tcMar>
              <w:left w:w="108" w:type="dxa"/>
              <w:right w:w="108" w:type="dxa"/>
            </w:tcMar>
            <w:vAlign w:val="center"/>
          </w:tcPr>
          <w:p w14:paraId="630DE8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19" w:type="dxa"/>
            <w:noWrap w:val="0"/>
            <w:tcMar>
              <w:left w:w="108" w:type="dxa"/>
              <w:right w:w="108" w:type="dxa"/>
            </w:tcMar>
            <w:vAlign w:val="center"/>
          </w:tcPr>
          <w:p w14:paraId="7CA69B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19" w:type="dxa"/>
            <w:noWrap w:val="0"/>
            <w:tcMar>
              <w:left w:w="108" w:type="dxa"/>
              <w:right w:w="108" w:type="dxa"/>
            </w:tcMar>
            <w:vAlign w:val="center"/>
          </w:tcPr>
          <w:p w14:paraId="3B55D1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20" w:type="dxa"/>
            <w:noWrap w:val="0"/>
            <w:tcMar>
              <w:left w:w="108" w:type="dxa"/>
              <w:right w:w="108" w:type="dxa"/>
            </w:tcMar>
            <w:vAlign w:val="center"/>
          </w:tcPr>
          <w:p w14:paraId="6519F8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19" w:type="dxa"/>
            <w:noWrap w:val="0"/>
            <w:tcMar>
              <w:left w:w="108" w:type="dxa"/>
              <w:right w:w="108" w:type="dxa"/>
            </w:tcMar>
            <w:vAlign w:val="center"/>
          </w:tcPr>
          <w:p w14:paraId="182412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19" w:type="dxa"/>
            <w:noWrap w:val="0"/>
            <w:tcMar>
              <w:left w:w="108" w:type="dxa"/>
              <w:right w:w="108" w:type="dxa"/>
            </w:tcMar>
            <w:vAlign w:val="center"/>
          </w:tcPr>
          <w:p w14:paraId="6890D7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20" w:type="dxa"/>
            <w:noWrap w:val="0"/>
            <w:tcMar>
              <w:left w:w="108" w:type="dxa"/>
              <w:right w:w="108" w:type="dxa"/>
            </w:tcMar>
            <w:vAlign w:val="center"/>
          </w:tcPr>
          <w:p w14:paraId="0373AB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20" w:type="dxa"/>
            <w:noWrap w:val="0"/>
            <w:tcMar>
              <w:left w:w="108" w:type="dxa"/>
              <w:right w:w="108" w:type="dxa"/>
            </w:tcMar>
            <w:vAlign w:val="center"/>
          </w:tcPr>
          <w:p w14:paraId="634221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20" w:type="dxa"/>
            <w:noWrap w:val="0"/>
            <w:tcMar>
              <w:left w:w="108" w:type="dxa"/>
              <w:right w:w="108" w:type="dxa"/>
            </w:tcMar>
            <w:vAlign w:val="center"/>
          </w:tcPr>
          <w:p w14:paraId="325228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20" w:type="dxa"/>
            <w:noWrap w:val="0"/>
            <w:tcMar>
              <w:left w:w="108" w:type="dxa"/>
              <w:right w:w="108" w:type="dxa"/>
            </w:tcMar>
            <w:vAlign w:val="center"/>
          </w:tcPr>
          <w:p w14:paraId="5463BF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20" w:type="dxa"/>
            <w:noWrap w:val="0"/>
            <w:tcMar>
              <w:left w:w="108" w:type="dxa"/>
              <w:right w:w="108" w:type="dxa"/>
            </w:tcMar>
            <w:vAlign w:val="center"/>
          </w:tcPr>
          <w:p w14:paraId="719FA1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20" w:type="dxa"/>
            <w:noWrap w:val="0"/>
            <w:tcMar>
              <w:left w:w="108" w:type="dxa"/>
              <w:right w:w="108" w:type="dxa"/>
            </w:tcMar>
            <w:vAlign w:val="center"/>
          </w:tcPr>
          <w:p w14:paraId="2DFA27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20" w:type="dxa"/>
            <w:noWrap w:val="0"/>
            <w:tcMar>
              <w:left w:w="108" w:type="dxa"/>
              <w:right w:w="108" w:type="dxa"/>
            </w:tcMar>
            <w:vAlign w:val="center"/>
          </w:tcPr>
          <w:p w14:paraId="15DFD4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rPr>
            </w:pPr>
            <w:r>
              <w:rPr>
                <w:rFonts w:hint="default" w:ascii="Times New Roman" w:hAnsi="Times New Roman" w:cs="Times New Roman"/>
                <w:kern w:val="0"/>
                <w:sz w:val="20"/>
                <w:szCs w:val="20"/>
                <w:lang w:val="en-US" w:eastAsia="zh-CN" w:bidi="ar"/>
              </w:rPr>
              <w:t>0</w:t>
            </w:r>
          </w:p>
        </w:tc>
        <w:tc>
          <w:tcPr>
            <w:tcW w:w="525" w:type="dxa"/>
            <w:noWrap w:val="0"/>
            <w:tcMar>
              <w:left w:w="108" w:type="dxa"/>
              <w:right w:w="108" w:type="dxa"/>
            </w:tcMar>
            <w:vAlign w:val="center"/>
          </w:tcPr>
          <w:p w14:paraId="3F9771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sz w:val="24"/>
                <w:szCs w:val="24"/>
              </w:rPr>
            </w:pPr>
            <w:r>
              <w:rPr>
                <w:rFonts w:hint="default" w:ascii="Times New Roman" w:hAnsi="Times New Roman" w:cs="Times New Roman"/>
                <w:kern w:val="0"/>
                <w:sz w:val="20"/>
                <w:szCs w:val="20"/>
                <w:lang w:val="en-US" w:eastAsia="zh-CN" w:bidi="ar"/>
              </w:rPr>
              <w:t>0</w:t>
            </w:r>
          </w:p>
        </w:tc>
      </w:tr>
    </w:tbl>
    <w:p w14:paraId="612E360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五、存在的主要问题及改进情况</w:t>
      </w:r>
    </w:p>
    <w:p w14:paraId="4820AF4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202</w:t>
      </w:r>
      <w:r>
        <w:rPr>
          <w:rFonts w:hint="eastAsia" w:ascii="Times New Roman" w:hAnsi="Times New Roman" w:eastAsia="方正仿宋_GBK" w:cs="方正仿宋_GBK"/>
          <w:color w:val="auto"/>
          <w:sz w:val="32"/>
          <w:szCs w:val="32"/>
          <w:lang w:val="en-US" w:eastAsia="zh-CN"/>
        </w:rPr>
        <w:t>4</w:t>
      </w:r>
      <w:r>
        <w:rPr>
          <w:rFonts w:hint="eastAsia" w:ascii="Times New Roman" w:hAnsi="Times New Roman" w:eastAsia="方正仿宋_GBK" w:cs="方正仿宋_GBK"/>
          <w:color w:val="auto"/>
          <w:sz w:val="32"/>
          <w:szCs w:val="32"/>
        </w:rPr>
        <w:t>年度我局政务公开</w:t>
      </w:r>
      <w:r>
        <w:rPr>
          <w:rFonts w:hint="eastAsia" w:ascii="Times New Roman" w:hAnsi="Times New Roman" w:eastAsia="方正仿宋_GBK" w:cs="方正仿宋_GBK"/>
          <w:color w:val="auto"/>
          <w:sz w:val="32"/>
          <w:szCs w:val="32"/>
          <w:lang w:eastAsia="zh-CN"/>
        </w:rPr>
        <w:t>工作</w:t>
      </w:r>
      <w:r>
        <w:rPr>
          <w:rFonts w:hint="eastAsia" w:ascii="Times New Roman" w:hAnsi="Times New Roman" w:eastAsia="方正仿宋_GBK" w:cs="方正仿宋_GBK"/>
          <w:color w:val="auto"/>
          <w:sz w:val="32"/>
          <w:szCs w:val="32"/>
        </w:rPr>
        <w:t>主要存在以下两个方面的问题：</w:t>
      </w:r>
      <w:r>
        <w:rPr>
          <w:rFonts w:hint="eastAsia" w:ascii="Times New Roman" w:hAnsi="Times New Roman" w:eastAsia="方正仿宋_GBK" w:cs="方正仿宋_GBK"/>
          <w:color w:val="auto"/>
          <w:sz w:val="32"/>
          <w:szCs w:val="32"/>
          <w:lang w:eastAsia="zh-CN"/>
        </w:rPr>
        <w:t>一是信息目录编制不够精确，存在多个栏目发布相同信息或部分栏目长期无相关信息更新的情况。二是政策文件制定过程中公开度不够，制定流程细节公开不及时，公众参与度不足。</w:t>
      </w:r>
    </w:p>
    <w:p w14:paraId="1B71755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下一步，我局将进一步贯彻《中华人民共和国政府信息公开条例》（国令第711号），落实政府信息公开工作各项规章制度，推进政务公开栏目优化，把握信息全生命周期，加强信息密级审核，同时提升政策制定过程中公众参与环节的必要性，加强政务服务与数据资源领域政务动态的可读性、透明度，提升政府信息公开实效。</w:t>
      </w:r>
    </w:p>
    <w:p w14:paraId="797806D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六、其他需要报告的事项</w:t>
      </w:r>
    </w:p>
    <w:p w14:paraId="4EFD653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按照《国务院办公厅关于印发〈政府信息公开信息处理费管理办法〉的通知》（国办函〔2020〕109号）规定的按件、按量收费标准，本年度没有产生信息公开处理费。</w:t>
      </w:r>
    </w:p>
    <w:sectPr>
      <w:pgSz w:w="11906" w:h="16838"/>
      <w:pgMar w:top="1962" w:right="1474" w:bottom="184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dit="readOnly" w:formatting="1" w:enforcement="1" w:cryptProviderType="rsaFull" w:cryptAlgorithmClass="hash" w:cryptAlgorithmType="typeAny" w:cryptAlgorithmSid="4" w:cryptSpinCount="0" w:hash="Xt9JEC1rU1Z68wFA//EeFn2ysNc=" w:salt="axeA+F34F8hO2aNxPr3TR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D56FE"/>
    <w:rsid w:val="0F0F31C4"/>
    <w:rsid w:val="16E718D0"/>
    <w:rsid w:val="2F233B22"/>
    <w:rsid w:val="379D5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next w:val="1"/>
    <w:unhideWhenUsed/>
    <w:qFormat/>
    <w:uiPriority w:val="39"/>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Normal (Web)"/>
    <w:qFormat/>
    <w:uiPriority w:val="0"/>
    <w:pPr>
      <w:widowControl w:val="0"/>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1451</Words>
  <Characters>1528</Characters>
  <Lines>0</Lines>
  <Paragraphs>0</Paragraphs>
  <TotalTime>2</TotalTime>
  <ScaleCrop>false</ScaleCrop>
  <LinksUpToDate>false</LinksUpToDate>
  <CharactersWithSpaces>1529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2025-01-21T03:09:00Z</dcterms:created>
  <dc:creator>随意吧</dc:creator>
  <cp:lastModifiedBy>永不动机</cp:lastModifiedBy>
  <dcterms:modified xsi:type="dcterms:W3CDTF">2025-06-19T07:56:21Z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C48E73E4C42B4E47B14388380E0EBE23_11</vt:lpwstr>
  </property>
  <property fmtid="{D5CDD505-2E9C-101B-9397-08002B2CF9AE}" pid="4" name="KSOTemplateDocerSaveRecord">
    <vt:lpwstr>eyJoZGlkIjoiY2ViNWE0ZTY1MTJhYTBkZTBkOGM5NGFkMDk1MmJkOWEiLCJ1c2VySWQiOiIxNDMzODIzMTc2In0=</vt:lpwstr>
  </property>
</Properties>
</file>