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AD5B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淮南</w:t>
      </w:r>
      <w:r>
        <w:rPr>
          <w:rFonts w:hint="default" w:ascii="Times New Roman" w:hAnsi="Times New Roman" w:eastAsia="方正小标宋简体" w:cs="Times New Roman"/>
          <w:sz w:val="44"/>
          <w:szCs w:val="44"/>
        </w:rPr>
        <w:t>市公共数据</w:t>
      </w:r>
      <w:r>
        <w:rPr>
          <w:rFonts w:hint="default" w:ascii="Times New Roman" w:hAnsi="Times New Roman" w:eastAsia="方正小标宋简体" w:cs="Times New Roman"/>
          <w:sz w:val="44"/>
          <w:szCs w:val="44"/>
          <w:lang w:eastAsia="zh-CN"/>
        </w:rPr>
        <w:t>资源</w:t>
      </w:r>
      <w:r>
        <w:rPr>
          <w:rFonts w:hint="default" w:ascii="Times New Roman" w:hAnsi="Times New Roman" w:eastAsia="方正小标宋简体" w:cs="Times New Roman"/>
          <w:sz w:val="44"/>
          <w:szCs w:val="44"/>
        </w:rPr>
        <w:t>授权运营</w:t>
      </w:r>
      <w:r>
        <w:rPr>
          <w:rFonts w:hint="default" w:ascii="Times New Roman" w:hAnsi="Times New Roman" w:eastAsia="方正小标宋简体" w:cs="Times New Roman"/>
          <w:sz w:val="44"/>
          <w:szCs w:val="44"/>
          <w:lang w:eastAsia="zh-CN"/>
        </w:rPr>
        <w:t>实施</w:t>
      </w:r>
      <w:r>
        <w:rPr>
          <w:rFonts w:hint="default" w:ascii="Times New Roman" w:hAnsi="Times New Roman" w:eastAsia="方正小标宋简体" w:cs="Times New Roman"/>
          <w:sz w:val="44"/>
          <w:szCs w:val="44"/>
        </w:rPr>
        <w:t>方案</w:t>
      </w:r>
    </w:p>
    <w:p w14:paraId="28C3B7C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（试行）</w:t>
      </w:r>
    </w:p>
    <w:p w14:paraId="20206619">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（征求意见稿）</w:t>
      </w:r>
    </w:p>
    <w:p w14:paraId="006DE4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p>
    <w:p w14:paraId="68B448A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w:t>
      </w:r>
      <w:r>
        <w:rPr>
          <w:rFonts w:hint="default" w:ascii="Times New Roman" w:hAnsi="Times New Roman" w:eastAsia="仿宋_GB2312" w:cs="Times New Roman"/>
          <w:color w:val="auto"/>
          <w:sz w:val="32"/>
          <w:szCs w:val="32"/>
          <w:lang w:val="en-US" w:eastAsia="zh-CN"/>
        </w:rPr>
        <w:t>规范公共数据资源授权运营管理</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auto"/>
          <w:sz w:val="32"/>
          <w:szCs w:val="32"/>
          <w:lang w:val="en-US" w:eastAsia="zh-CN"/>
        </w:rPr>
        <w:t>加快推进公共数据资源开发利用，</w:t>
      </w:r>
      <w:r>
        <w:rPr>
          <w:rFonts w:hint="default" w:ascii="Times New Roman" w:hAnsi="Times New Roman" w:eastAsia="仿宋_GB2312" w:cs="Times New Roman"/>
          <w:b w:val="0"/>
          <w:bCs w:val="0"/>
          <w:sz w:val="32"/>
          <w:szCs w:val="32"/>
          <w:lang w:val="en-US" w:eastAsia="zh-CN"/>
        </w:rPr>
        <w:t>激活数据要素价值，</w:t>
      </w:r>
      <w:r>
        <w:rPr>
          <w:rFonts w:hint="default" w:ascii="Times New Roman" w:hAnsi="Times New Roman" w:eastAsia="仿宋_GB2312" w:cs="Times New Roman"/>
          <w:color w:val="auto"/>
          <w:sz w:val="32"/>
          <w:szCs w:val="32"/>
          <w:lang w:val="en-US" w:eastAsia="zh-CN"/>
        </w:rPr>
        <w:t>根据</w:t>
      </w:r>
      <w:r>
        <w:rPr>
          <w:rFonts w:hint="default" w:ascii="Times New Roman" w:hAnsi="Times New Roman" w:eastAsia="仿宋_GB2312" w:cs="Times New Roman"/>
          <w:sz w:val="32"/>
          <w:szCs w:val="32"/>
          <w:highlight w:val="none"/>
        </w:rPr>
        <w:t>《中共中央办公厅</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国务院办公厅关于加快公共数据资源开发利用的意见》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《中共安徽省委办公厅</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安徽省人民政府办公厅关于印发</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rPr>
        <w:t>深化公共数据资源开发利用若干举措</w:t>
      </w:r>
      <w:r>
        <w:rPr>
          <w:rFonts w:hint="default" w:ascii="Times New Roman" w:hAnsi="Times New Roman" w:eastAsia="仿宋_GB2312" w:cs="Times New Roman"/>
          <w:color w:val="auto"/>
          <w:sz w:val="32"/>
          <w:szCs w:val="32"/>
          <w:highlight w:val="none"/>
          <w:lang w:val="en-US" w:eastAsia="zh-CN"/>
        </w:rPr>
        <w:t>&gt;的通知</w:t>
      </w:r>
      <w:r>
        <w:rPr>
          <w:rFonts w:hint="default" w:ascii="Times New Roman" w:hAnsi="Times New Roman" w:eastAsia="仿宋_GB2312" w:cs="Times New Roman"/>
          <w:color w:val="auto"/>
          <w:sz w:val="32"/>
          <w:szCs w:val="32"/>
          <w:highlight w:val="none"/>
          <w:lang w:eastAsia="zh-CN"/>
        </w:rPr>
        <w:t>》、《安徽省数字安徽建设领导小组办公室关于印发&lt;安徽省公共数据资源登记实施细则（试行）&gt;和&lt;安徽省公共数据资源授权运营实施细则（试行）&gt;的通知》（皖数安办〔2025〕4号）、《关于做好公共数据资源授权运营价格形成机制贯彻落实工作的通知》（皖发改价费〔</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256号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eastAsia="zh-CN"/>
        </w:rPr>
        <w:t>等文件</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lang w:val="en-US" w:eastAsia="zh-CN"/>
        </w:rPr>
        <w:t>，结合我市实际，制定本方案。</w:t>
      </w:r>
    </w:p>
    <w:p w14:paraId="677F2CE9">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黑体"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zh-CN" w:bidi="ar-SA"/>
        </w:rPr>
        <w:t>一、授权运营的必要性和可行性</w:t>
      </w:r>
    </w:p>
    <w:p w14:paraId="5B5BC96B">
      <w:pPr>
        <w:keepNext w:val="0"/>
        <w:keepLines w:val="0"/>
        <w:pageBreakBefore w:val="0"/>
        <w:widowControl w:val="0"/>
        <w:numPr>
          <w:ilvl w:val="0"/>
          <w:numId w:val="0"/>
        </w:numPr>
        <w:wordWrap/>
        <w:overflowPunct/>
        <w:topLinePunct w:val="0"/>
        <w:bidi w:val="0"/>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lang w:val="en-US" w:eastAsia="zh-CN"/>
        </w:rPr>
        <w:t>（一）必要性。</w:t>
      </w:r>
      <w:r>
        <w:rPr>
          <w:rFonts w:hint="default" w:ascii="Times New Roman" w:hAnsi="Times New Roman" w:eastAsia="仿宋_GB2312" w:cs="Times New Roman"/>
          <w:color w:val="auto"/>
          <w:sz w:val="32"/>
          <w:szCs w:val="32"/>
          <w:highlight w:val="none"/>
          <w:lang w:val="en-US" w:eastAsia="zh-CN"/>
        </w:rPr>
        <w:t>一是完成我市2023年度承担的国家全面创新改革“以场景应用为基础的数据要素市场建设模式”试点任务，在公共数据资源开放共享、流通交易、场景建设以及市场治理、安全管理等基础制度和机制建设方面开展探索建设。二是</w:t>
      </w:r>
      <w:r>
        <w:rPr>
          <w:rFonts w:hint="default" w:ascii="Times New Roman" w:hAnsi="Times New Roman" w:eastAsia="仿宋_GB2312" w:cs="Times New Roman"/>
          <w:color w:val="auto"/>
          <w:sz w:val="32"/>
          <w:szCs w:val="32"/>
          <w:highlight w:val="none"/>
          <w:lang w:val="en-US" w:eastAsia="zh-CN"/>
        </w:rPr>
        <w:t>通过公共数据资源授权运营，打破政府与市场之间的数据壁垒，打通企业与</w:t>
      </w:r>
      <w:r>
        <w:rPr>
          <w:rFonts w:hint="default" w:ascii="Times New Roman" w:hAnsi="Times New Roman" w:eastAsia="仿宋_GB2312" w:cs="Times New Roman"/>
          <w:color w:val="auto"/>
          <w:sz w:val="32"/>
          <w:szCs w:val="32"/>
          <w:highlight w:val="none"/>
          <w:lang w:val="en-US" w:eastAsia="zh-CN"/>
        </w:rPr>
        <w:t>政府</w:t>
      </w:r>
      <w:r>
        <w:rPr>
          <w:rFonts w:hint="default" w:ascii="Times New Roman" w:hAnsi="Times New Roman" w:eastAsia="仿宋_GB2312" w:cs="Times New Roman"/>
          <w:color w:val="auto"/>
          <w:sz w:val="32"/>
          <w:szCs w:val="32"/>
          <w:highlight w:val="none"/>
          <w:lang w:val="en-US" w:eastAsia="zh-CN"/>
        </w:rPr>
        <w:t>部门公共数据供需通道，促进公共数据资源的共享和流通，</w:t>
      </w:r>
      <w:r>
        <w:rPr>
          <w:rFonts w:hint="default" w:ascii="Times New Roman" w:hAnsi="Times New Roman" w:eastAsia="仿宋_GB2312" w:cs="Times New Roman"/>
          <w:color w:val="auto"/>
          <w:sz w:val="32"/>
          <w:szCs w:val="32"/>
          <w:highlight w:val="none"/>
          <w:lang w:val="en-US" w:eastAsia="zh-CN"/>
        </w:rPr>
        <w:t>推动</w:t>
      </w:r>
      <w:r>
        <w:rPr>
          <w:rFonts w:hint="default" w:ascii="Times New Roman" w:hAnsi="Times New Roman" w:eastAsia="仿宋_GB2312" w:cs="Times New Roman"/>
          <w:color w:val="auto"/>
          <w:sz w:val="32"/>
          <w:szCs w:val="32"/>
          <w:highlight w:val="none"/>
          <w:lang w:val="en-US" w:eastAsia="zh-CN"/>
        </w:rPr>
        <w:t>公共数据与传统产业的深度融合</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激发市场主体创新活力</w:t>
      </w:r>
      <w:r>
        <w:rPr>
          <w:rFonts w:hint="default" w:ascii="Times New Roman" w:hAnsi="Times New Roman" w:eastAsia="仿宋_GB2312" w:cs="Times New Roman"/>
          <w:color w:val="auto"/>
          <w:sz w:val="32"/>
          <w:szCs w:val="32"/>
          <w:highlight w:val="none"/>
          <w:lang w:val="en-US" w:eastAsia="zh-CN"/>
        </w:rPr>
        <w:t>。</w:t>
      </w:r>
    </w:p>
    <w:p w14:paraId="7B9DC721">
      <w:pPr>
        <w:keepNext w:val="0"/>
        <w:keepLines w:val="0"/>
        <w:pageBreakBefore w:val="0"/>
        <w:widowControl w:val="0"/>
        <w:numPr>
          <w:ilvl w:val="0"/>
          <w:numId w:val="0"/>
        </w:numPr>
        <w:wordWrap/>
        <w:overflowPunct/>
        <w:topLinePunct w:val="0"/>
        <w:bidi w:val="0"/>
        <w:spacing w:line="560" w:lineRule="exact"/>
        <w:ind w:left="0" w:leftChars="0" w:firstLine="640" w:firstLineChars="200"/>
        <w:rPr>
          <w:rFonts w:hint="default" w:ascii="Times New Roman" w:hAnsi="Times New Roman" w:eastAsia="仿宋_GB2312" w:cs="Times New Roman"/>
          <w:snapToGrid w:val="0"/>
          <w:color w:val="auto"/>
          <w:kern w:val="0"/>
          <w:sz w:val="32"/>
          <w:szCs w:val="32"/>
          <w:lang w:val="en" w:eastAsia="zh-CN" w:bidi="ar"/>
        </w:rPr>
      </w:pPr>
      <w:r>
        <w:rPr>
          <w:rFonts w:hint="default" w:ascii="Times New Roman" w:hAnsi="Times New Roman" w:eastAsia="楷体" w:cs="Times New Roman"/>
          <w:color w:val="auto"/>
          <w:sz w:val="32"/>
          <w:szCs w:val="32"/>
          <w:lang w:val="en-US" w:eastAsia="zh-CN"/>
        </w:rPr>
        <w:t>（二）可行性。</w:t>
      </w:r>
      <w:r>
        <w:rPr>
          <w:rFonts w:hint="default" w:ascii="Times New Roman" w:hAnsi="Times New Roman" w:eastAsia="仿宋_GB2312" w:cs="Times New Roman"/>
          <w:snapToGrid w:val="0"/>
          <w:color w:val="auto"/>
          <w:kern w:val="0"/>
          <w:sz w:val="32"/>
          <w:szCs w:val="32"/>
          <w:lang w:val="en-US" w:eastAsia="zh-CN" w:bidi="ar"/>
        </w:rPr>
        <w:t>一是《中共安徽省委办公厅 安徽省人民政府办公厅关于印发&lt;深化公共数据资源开发利用若干举措&gt;的通知》明确提出，规范公共数据资源授权运营，采取整体授权等模式，以公平竞争方式选择符合条件的运营机构开展服务。二是我市通过建设全省一体化数据基础平台淮南市节点，</w:t>
      </w:r>
      <w:r>
        <w:rPr>
          <w:rFonts w:hint="default" w:ascii="Times New Roman" w:hAnsi="Times New Roman" w:eastAsia="仿宋_GB2312" w:cs="Times New Roman"/>
          <w:kern w:val="2"/>
          <w:sz w:val="32"/>
          <w:szCs w:val="32"/>
          <w:highlight w:val="none"/>
          <w:lang w:val="en-US" w:eastAsia="zh-CN" w:bidi="ar-SA"/>
        </w:rPr>
        <w:t>汇聚各部门各领域大量的公共数据资源</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snapToGrid w:val="0"/>
          <w:color w:val="auto"/>
          <w:kern w:val="0"/>
          <w:sz w:val="32"/>
          <w:szCs w:val="32"/>
          <w:lang w:val="en-US" w:eastAsia="zh-CN" w:bidi="ar"/>
        </w:rPr>
        <w:t>建成</w:t>
      </w:r>
      <w:r>
        <w:rPr>
          <w:rFonts w:hint="default" w:ascii="Times New Roman" w:hAnsi="Times New Roman" w:eastAsia="仿宋_GB2312" w:cs="Times New Roman"/>
          <w:color w:val="auto"/>
          <w:sz w:val="32"/>
          <w:szCs w:val="32"/>
        </w:rPr>
        <w:t>人口、法人、地理信息、电子证照等四大基础库和五大主题库</w:t>
      </w:r>
      <w:r>
        <w:rPr>
          <w:rFonts w:hint="default" w:ascii="Times New Roman" w:hAnsi="Times New Roman" w:eastAsia="仿宋_GB2312" w:cs="Times New Roman"/>
          <w:snapToGrid w:val="0"/>
          <w:color w:val="auto"/>
          <w:kern w:val="0"/>
          <w:sz w:val="32"/>
          <w:szCs w:val="32"/>
          <w:lang w:val="en-US" w:eastAsia="zh-CN" w:bidi="ar"/>
        </w:rPr>
        <w:t>，全库数据总量达1.295TB，</w:t>
      </w:r>
      <w:r>
        <w:rPr>
          <w:rFonts w:hint="default" w:ascii="Times New Roman" w:hAnsi="Times New Roman" w:eastAsia="仿宋_GB2312" w:cs="Times New Roman"/>
          <w:color w:val="auto"/>
          <w:sz w:val="32"/>
          <w:szCs w:val="32"/>
          <w:lang w:eastAsia="zh-CN"/>
        </w:rPr>
        <w:t>已</w:t>
      </w:r>
      <w:r>
        <w:rPr>
          <w:rFonts w:hint="default" w:ascii="Times New Roman" w:hAnsi="Times New Roman" w:eastAsia="仿宋_GB2312" w:cs="Times New Roman"/>
          <w:snapToGrid w:val="0"/>
          <w:color w:val="auto"/>
          <w:kern w:val="0"/>
          <w:sz w:val="32"/>
          <w:szCs w:val="32"/>
          <w:lang w:val="en-US" w:eastAsia="zh-CN" w:bidi="ar"/>
        </w:rPr>
        <w:t>形成完备的公共数据资源汇聚体系，为授权运营提供了基础支撑</w:t>
      </w:r>
      <w:r>
        <w:rPr>
          <w:rFonts w:hint="default" w:ascii="Times New Roman" w:hAnsi="Times New Roman" w:eastAsia="仿宋_GB2312" w:cs="Times New Roman"/>
          <w:snapToGrid w:val="0"/>
          <w:color w:val="auto"/>
          <w:kern w:val="0"/>
          <w:sz w:val="32"/>
          <w:szCs w:val="32"/>
          <w:lang w:val="en" w:eastAsia="zh-CN" w:bidi="ar"/>
        </w:rPr>
        <w:t>,</w:t>
      </w:r>
      <w:r>
        <w:rPr>
          <w:rFonts w:hint="default" w:ascii="Times New Roman" w:hAnsi="Times New Roman" w:eastAsia="仿宋_GB2312" w:cs="Times New Roman"/>
          <w:snapToGrid w:val="0"/>
          <w:color w:val="auto"/>
          <w:kern w:val="0"/>
          <w:sz w:val="32"/>
          <w:szCs w:val="32"/>
          <w:lang w:val="en" w:eastAsia="zh-CN" w:bidi="ar"/>
        </w:rPr>
        <w:t>并完成了金融、医疗产品的开发。</w:t>
      </w:r>
    </w:p>
    <w:p w14:paraId="03776D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二、工作目标</w:t>
      </w:r>
    </w:p>
    <w:p w14:paraId="76684612">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napToGrid w:val="0"/>
          <w:color w:val="auto"/>
          <w:kern w:val="0"/>
          <w:sz w:val="32"/>
          <w:szCs w:val="32"/>
          <w:lang w:val="en-US" w:eastAsia="zh-CN" w:bidi="ar"/>
        </w:rPr>
        <w:t>202</w:t>
      </w:r>
      <w:r>
        <w:rPr>
          <w:rFonts w:hint="default" w:ascii="Times New Roman" w:hAnsi="Times New Roman" w:eastAsia="仿宋_GB2312" w:cs="Times New Roman"/>
          <w:snapToGrid w:val="0"/>
          <w:color w:val="auto"/>
          <w:kern w:val="0"/>
          <w:sz w:val="32"/>
          <w:szCs w:val="32"/>
          <w:lang w:val="en" w:eastAsia="zh-CN" w:bidi="ar"/>
        </w:rPr>
        <w:t>6</w:t>
      </w:r>
      <w:r>
        <w:rPr>
          <w:rFonts w:hint="default" w:ascii="Times New Roman" w:hAnsi="Times New Roman" w:eastAsia="仿宋_GB2312" w:cs="Times New Roman"/>
          <w:snapToGrid w:val="0"/>
          <w:color w:val="auto"/>
          <w:kern w:val="0"/>
          <w:sz w:val="32"/>
          <w:szCs w:val="32"/>
          <w:lang w:val="en-US" w:eastAsia="zh-CN" w:bidi="ar"/>
        </w:rPr>
        <w:t>年，建立健全公共数据资源授权运营协同共建机制，明确授权运营相关主体，率先在普惠金融、医疗健康等领域开展授权运营工作。202</w:t>
      </w:r>
      <w:r>
        <w:rPr>
          <w:rFonts w:hint="default" w:ascii="Times New Roman" w:hAnsi="Times New Roman" w:eastAsia="仿宋_GB2312" w:cs="Times New Roman"/>
          <w:snapToGrid w:val="0"/>
          <w:color w:val="auto"/>
          <w:kern w:val="0"/>
          <w:sz w:val="32"/>
          <w:szCs w:val="32"/>
          <w:lang w:val="en" w:eastAsia="zh-CN" w:bidi="ar"/>
        </w:rPr>
        <w:t>7</w:t>
      </w:r>
      <w:r>
        <w:rPr>
          <w:rFonts w:hint="default" w:ascii="Times New Roman" w:hAnsi="Times New Roman" w:eastAsia="仿宋_GB2312" w:cs="Times New Roman"/>
          <w:snapToGrid w:val="0"/>
          <w:color w:val="auto"/>
          <w:kern w:val="0"/>
          <w:sz w:val="32"/>
          <w:szCs w:val="32"/>
          <w:lang w:val="en-US" w:eastAsia="zh-CN" w:bidi="ar"/>
        </w:rPr>
        <w:t>年底前，</w:t>
      </w:r>
      <w:r>
        <w:rPr>
          <w:rFonts w:hint="default" w:ascii="Times New Roman" w:hAnsi="Times New Roman" w:eastAsia="仿宋_GB2312" w:cs="Times New Roman"/>
          <w:snapToGrid w:val="0"/>
          <w:color w:val="auto"/>
          <w:kern w:val="0"/>
          <w:sz w:val="32"/>
          <w:szCs w:val="32"/>
          <w:highlight w:val="none"/>
          <w:lang w:val="en-US" w:eastAsia="zh-CN" w:bidi="ar"/>
        </w:rPr>
        <w:t>在</w:t>
      </w:r>
      <w:r>
        <w:rPr>
          <w:rFonts w:hint="default" w:ascii="Times New Roman" w:hAnsi="Times New Roman" w:eastAsia="仿宋_GB2312" w:cs="Times New Roman"/>
          <w:snapToGrid w:val="0"/>
          <w:color w:val="auto"/>
          <w:kern w:val="0"/>
          <w:sz w:val="32"/>
          <w:szCs w:val="32"/>
          <w:lang w:val="en-US" w:eastAsia="zh-CN" w:bidi="ar"/>
        </w:rPr>
        <w:t>城市治理、</w:t>
      </w:r>
      <w:r>
        <w:rPr>
          <w:rFonts w:hint="default" w:ascii="Times New Roman" w:hAnsi="Times New Roman" w:eastAsia="仿宋_GB2312" w:cs="Times New Roman"/>
          <w:snapToGrid w:val="0"/>
          <w:color w:val="auto"/>
          <w:kern w:val="0"/>
          <w:sz w:val="32"/>
          <w:szCs w:val="32"/>
          <w:highlight w:val="none"/>
          <w:lang w:val="en-US" w:eastAsia="zh-CN" w:bidi="ar"/>
        </w:rPr>
        <w:t>低碳环保等领域</w:t>
      </w:r>
      <w:r>
        <w:rPr>
          <w:rFonts w:hint="default" w:ascii="Times New Roman" w:hAnsi="Times New Roman" w:eastAsia="仿宋_GB2312" w:cs="Times New Roman"/>
          <w:b w:val="0"/>
          <w:bCs w:val="0"/>
          <w:sz w:val="32"/>
          <w:szCs w:val="32"/>
        </w:rPr>
        <w:t>拓展数据要素创新应用场景，</w:t>
      </w:r>
      <w:r>
        <w:rPr>
          <w:rFonts w:hint="default" w:ascii="Times New Roman" w:hAnsi="Times New Roman" w:eastAsia="仿宋_GB2312" w:cs="Times New Roman"/>
          <w:snapToGrid w:val="0"/>
          <w:color w:val="auto"/>
          <w:kern w:val="0"/>
          <w:sz w:val="32"/>
          <w:szCs w:val="32"/>
          <w:lang w:val="en-US" w:eastAsia="zh-CN" w:bidi="ar"/>
        </w:rPr>
        <w:t>推动覆盖更多行业领域，形成一批有价值、可推广的数据产品和服务，培育一</w:t>
      </w:r>
      <w:bookmarkStart w:id="0" w:name="_GoBack"/>
      <w:bookmarkEnd w:id="0"/>
      <w:r>
        <w:rPr>
          <w:rFonts w:hint="default" w:ascii="Times New Roman" w:hAnsi="Times New Roman" w:eastAsia="仿宋_GB2312" w:cs="Times New Roman"/>
          <w:snapToGrid w:val="0"/>
          <w:color w:val="auto"/>
          <w:kern w:val="0"/>
          <w:sz w:val="32"/>
          <w:szCs w:val="32"/>
          <w:lang w:val="en-US" w:eastAsia="zh-CN" w:bidi="ar"/>
        </w:rPr>
        <w:t>批数据要素型企业</w:t>
      </w:r>
      <w:r>
        <w:rPr>
          <w:rFonts w:hint="default" w:ascii="Times New Roman" w:hAnsi="Times New Roman" w:eastAsia="仿宋_GB2312" w:cs="Times New Roman"/>
          <w:sz w:val="32"/>
          <w:szCs w:val="32"/>
          <w:lang w:eastAsia="zh-CN"/>
        </w:rPr>
        <w:t>。</w:t>
      </w:r>
    </w:p>
    <w:p w14:paraId="366533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三、工作任务</w:t>
      </w:r>
    </w:p>
    <w:p w14:paraId="6BD46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（一）建立授权运营工作机制</w:t>
      </w:r>
    </w:p>
    <w:p w14:paraId="069FF5F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1.明确授权运营模式及</w:t>
      </w:r>
      <w:r>
        <w:rPr>
          <w:rFonts w:hint="default" w:ascii="Times New Roman" w:hAnsi="Times New Roman" w:eastAsia="仿宋_GB2312" w:cs="Times New Roman"/>
          <w:b/>
          <w:bCs/>
          <w:snapToGrid w:val="0"/>
          <w:color w:val="auto"/>
          <w:kern w:val="0"/>
          <w:sz w:val="32"/>
          <w:szCs w:val="32"/>
          <w:lang w:val="en-US" w:eastAsia="zh-CN" w:bidi="ar-SA"/>
        </w:rPr>
        <w:t>实施</w:t>
      </w:r>
      <w:r>
        <w:rPr>
          <w:rFonts w:hint="default" w:ascii="Times New Roman" w:hAnsi="Times New Roman" w:eastAsia="仿宋_GB2312" w:cs="Times New Roman"/>
          <w:b/>
          <w:bCs/>
          <w:snapToGrid w:val="0"/>
          <w:color w:val="auto"/>
          <w:kern w:val="0"/>
          <w:sz w:val="32"/>
          <w:szCs w:val="32"/>
          <w:lang w:val="en-US" w:eastAsia="zh-CN" w:bidi="ar-SA"/>
        </w:rPr>
        <w:t>流程</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市公共数据资源授权运营采取“整体授权+分领域协同”的模式，数据资源管理部门整体授权符合条件的运营机构开展公共数据资源开发、产品经营和技术服务。运营机构建立健全“运营机构+合伙人”开发机制，根据行业或领域特性及需求，按照程序选择合伙人参与运营特定行业或领域的公共数据资源。</w:t>
      </w:r>
    </w:p>
    <w:p w14:paraId="3024FEE9">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rightChars="0" w:firstLine="640"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公共数据资源授权运营流程包括授权流程、运营流程、开发流程和评估流程</w:t>
      </w:r>
      <w:r>
        <w:rPr>
          <w:rFonts w:hint="default" w:ascii="Times New Roman" w:hAnsi="Times New Roman" w:eastAsia="仿宋_GB2312" w:cs="Times New Roman"/>
          <w:b w:val="0"/>
          <w:bCs w:val="0"/>
          <w:sz w:val="32"/>
          <w:szCs w:val="32"/>
          <w:highlight w:val="none"/>
          <w:lang w:val="en-US" w:eastAsia="zh-CN"/>
        </w:rPr>
        <w:t>等。</w:t>
      </w:r>
      <w:r>
        <w:rPr>
          <w:rFonts w:hint="default" w:ascii="Times New Roman" w:hAnsi="Times New Roman" w:eastAsia="仿宋_GB2312" w:cs="Times New Roman"/>
          <w:b w:val="0"/>
          <w:bCs w:val="0"/>
          <w:sz w:val="32"/>
          <w:szCs w:val="32"/>
          <w:highlight w:val="none"/>
          <w:lang w:val="en-US" w:eastAsia="zh-CN"/>
        </w:rPr>
        <w:t>公共数据资源授权运营</w:t>
      </w:r>
      <w:r>
        <w:rPr>
          <w:rFonts w:hint="default" w:ascii="Times New Roman" w:hAnsi="Times New Roman" w:eastAsia="仿宋_GB2312" w:cs="Times New Roman"/>
          <w:b w:val="0"/>
          <w:bCs w:val="0"/>
          <w:sz w:val="32"/>
          <w:szCs w:val="32"/>
          <w:highlight w:val="none"/>
          <w:lang w:val="en-US" w:eastAsia="zh-CN"/>
        </w:rPr>
        <w:t>实施</w:t>
      </w:r>
      <w:r>
        <w:rPr>
          <w:rFonts w:hint="default" w:ascii="Times New Roman" w:hAnsi="Times New Roman" w:eastAsia="仿宋_GB2312" w:cs="Times New Roman"/>
          <w:b w:val="0"/>
          <w:bCs w:val="0"/>
          <w:sz w:val="32"/>
          <w:szCs w:val="32"/>
          <w:highlight w:val="none"/>
          <w:lang w:val="en-US" w:eastAsia="zh-CN"/>
        </w:rPr>
        <w:t>流程</w:t>
      </w:r>
      <w:r>
        <w:rPr>
          <w:rFonts w:hint="default" w:ascii="Times New Roman" w:hAnsi="Times New Roman" w:eastAsia="仿宋_GB2312" w:cs="Times New Roman"/>
          <w:b w:val="0"/>
          <w:bCs w:val="0"/>
          <w:sz w:val="32"/>
          <w:szCs w:val="32"/>
          <w:highlight w:val="none"/>
          <w:lang w:val="en-US" w:eastAsia="zh-CN"/>
        </w:rPr>
        <w:t>详见附件</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lang w:val="en-US" w:eastAsia="zh-CN"/>
        </w:rPr>
        <w:t>。</w:t>
      </w:r>
    </w:p>
    <w:p w14:paraId="0CFD6FD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textAlignment w:val="baseline"/>
        <w:rPr>
          <w:rFonts w:hint="default" w:ascii="Times New Roman" w:hAnsi="Times New Roman" w:cs="Times New Roman"/>
          <w:lang w:val="en-US" w:eastAsia="zh-CN"/>
        </w:rPr>
      </w:pPr>
      <w:r>
        <w:rPr>
          <w:rFonts w:hint="default" w:ascii="Times New Roman" w:hAnsi="Times New Roman" w:eastAsia="仿宋_GB2312" w:cs="Times New Roman"/>
          <w:b/>
          <w:bCs/>
          <w:snapToGrid w:val="0"/>
          <w:color w:val="auto"/>
          <w:kern w:val="0"/>
          <w:sz w:val="32"/>
          <w:szCs w:val="32"/>
          <w:lang w:val="en-US" w:eastAsia="zh-CN" w:bidi="ar-SA"/>
        </w:rPr>
        <w:t>2.发布授权运营数据资源范围及目录。</w:t>
      </w:r>
      <w:r>
        <w:rPr>
          <w:rFonts w:hint="default" w:ascii="Times New Roman" w:hAnsi="Times New Roman" w:eastAsia="仿宋_GB2312" w:cs="Times New Roman"/>
          <w:b w:val="0"/>
          <w:snapToGrid w:val="0"/>
          <w:color w:val="auto"/>
          <w:kern w:val="0"/>
          <w:sz w:val="32"/>
          <w:szCs w:val="32"/>
          <w:lang w:val="en-US" w:eastAsia="zh-CN" w:bidi="ar-SA"/>
        </w:rPr>
        <w:t>数据资源管理部门会同相关行业部门确定公共数据资源授权运营范围，编制数据资源目录，确定数据更新频率及数据质量要求等内容，分批次向社会公示。第一批公共数据资源目录详见附件2。</w:t>
      </w:r>
    </w:p>
    <w:p w14:paraId="0C28C022">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leftChars="0" w:right="0" w:rightChars="0" w:firstLine="643" w:firstLineChars="200"/>
        <w:jc w:val="both"/>
        <w:rPr>
          <w:rFonts w:hint="default" w:ascii="Times New Roman" w:hAnsi="Times New Roman" w:eastAsia="仿宋_GB2312" w:cs="Times New Roman"/>
          <w:b w:val="0"/>
          <w:snapToGrid w:val="0"/>
          <w:color w:val="auto"/>
          <w:kern w:val="0"/>
          <w:sz w:val="32"/>
          <w:szCs w:val="32"/>
          <w:lang w:val="en-US" w:eastAsia="zh-CN" w:bidi="ar-SA"/>
        </w:rPr>
      </w:pPr>
      <w:r>
        <w:rPr>
          <w:rFonts w:hint="default" w:ascii="Times New Roman" w:hAnsi="Times New Roman" w:eastAsia="仿宋_GB2312" w:cs="Times New Roman"/>
          <w:b/>
          <w:bCs/>
          <w:snapToGrid w:val="0"/>
          <w:color w:val="auto"/>
          <w:kern w:val="0"/>
          <w:sz w:val="32"/>
          <w:szCs w:val="32"/>
          <w:lang w:val="en-US" w:eastAsia="zh-CN" w:bidi="ar-SA"/>
        </w:rPr>
        <w:t>3.遴选授权</w:t>
      </w:r>
      <w:r>
        <w:rPr>
          <w:rFonts w:hint="default" w:ascii="Times New Roman" w:hAnsi="Times New Roman" w:eastAsia="仿宋_GB2312" w:cs="Times New Roman"/>
          <w:b/>
          <w:bCs/>
          <w:snapToGrid w:val="0"/>
          <w:color w:val="auto"/>
          <w:kern w:val="0"/>
          <w:sz w:val="32"/>
          <w:szCs w:val="32"/>
          <w:lang w:val="en-US" w:eastAsia="zh-CN" w:bidi="ar-SA"/>
        </w:rPr>
        <w:t>运营机构。</w:t>
      </w:r>
      <w:r>
        <w:rPr>
          <w:rFonts w:hint="default" w:ascii="Times New Roman" w:hAnsi="Times New Roman" w:eastAsia="仿宋_GB2312" w:cs="Times New Roman"/>
          <w:b w:val="0"/>
          <w:snapToGrid w:val="0"/>
          <w:color w:val="auto"/>
          <w:kern w:val="0"/>
          <w:sz w:val="32"/>
          <w:szCs w:val="32"/>
          <w:lang w:val="en-US" w:eastAsia="zh-CN" w:bidi="ar-SA"/>
        </w:rPr>
        <w:t>数据资源管理部门通过公平竞争方式，遴选符合条件的法人组织（不含事业单位）开展公共数据资源开发、产品经营和技术服务。</w:t>
      </w: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运营机构</w:t>
      </w:r>
      <w:r>
        <w:rPr>
          <w:rFonts w:hint="default" w:ascii="Times New Roman" w:hAnsi="Times New Roman" w:eastAsia="仿宋_GB2312" w:cs="Times New Roman"/>
          <w:b w:val="0"/>
          <w:bCs w:val="0"/>
          <w:sz w:val="32"/>
          <w:szCs w:val="32"/>
          <w:highlight w:val="none"/>
          <w:lang w:val="en-US" w:eastAsia="zh-CN"/>
        </w:rPr>
        <w:t>运营期限</w:t>
      </w:r>
      <w:r>
        <w:rPr>
          <w:rFonts w:hint="default" w:ascii="Times New Roman" w:hAnsi="Times New Roman" w:eastAsia="仿宋_GB2312" w:cs="Times New Roman"/>
          <w:b w:val="0"/>
          <w:bCs w:val="0"/>
          <w:sz w:val="32"/>
          <w:szCs w:val="32"/>
          <w:highlight w:val="none"/>
          <w:lang w:val="en-US" w:eastAsia="zh-CN"/>
        </w:rPr>
        <w:t>不超过</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highlight w:val="none"/>
          <w:lang w:val="en-US" w:eastAsia="zh-CN"/>
        </w:rPr>
        <w:t>年。</w:t>
      </w:r>
      <w:r>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t>在授权运营期结束前，运营机构可提前3个月向数据资源管理部门提出续期申请，经审核批准，可续签授权协议。</w:t>
      </w:r>
    </w:p>
    <w:p w14:paraId="6CACD130">
      <w:pPr>
        <w:pStyle w:val="5"/>
        <w:keepNext w:val="0"/>
        <w:keepLines w:val="0"/>
        <w:pageBreakBefore w:val="0"/>
        <w:widowControl w:val="0"/>
        <w:kinsoku w:val="0"/>
        <w:wordWrap/>
        <w:overflowPunct/>
        <w:topLinePunct w:val="0"/>
        <w:autoSpaceDE w:val="0"/>
        <w:autoSpaceDN w:val="0"/>
        <w:bidi w:val="0"/>
        <w:adjustRightInd w:val="0"/>
        <w:snapToGrid w:val="0"/>
        <w:spacing w:after="0" w:afterLines="0" w:line="560" w:lineRule="exact"/>
        <w:ind w:left="0" w:leftChars="0" w:firstLine="640" w:firstLineChars="200"/>
        <w:textAlignment w:val="baseline"/>
        <w:rPr>
          <w:rFonts w:hint="default" w:ascii="Times New Roman" w:hAnsi="Times New Roman" w:eastAsia="仿宋_GB2312" w:cs="Times New Roman"/>
          <w:snapToGrid w:val="0"/>
          <w:color w:val="auto"/>
          <w:kern w:val="0"/>
          <w:sz w:val="32"/>
          <w:szCs w:val="32"/>
          <w:lang w:val="en-US" w:eastAsia="zh-CN" w:bidi="ar"/>
        </w:rPr>
      </w:pPr>
      <w:r>
        <w:rPr>
          <w:rFonts w:hint="default" w:ascii="Times New Roman" w:hAnsi="Times New Roman" w:eastAsia="仿宋_GB2312" w:cs="Times New Roman"/>
          <w:snapToGrid w:val="0"/>
          <w:color w:val="auto"/>
          <w:kern w:val="0"/>
          <w:sz w:val="32"/>
          <w:szCs w:val="32"/>
          <w:lang w:val="en-US" w:eastAsia="zh-CN" w:bidi="ar"/>
        </w:rPr>
        <w:t>运营机构</w:t>
      </w:r>
      <w:r>
        <w:rPr>
          <w:rFonts w:hint="default" w:ascii="Times New Roman" w:hAnsi="Times New Roman" w:eastAsia="仿宋_GB2312" w:cs="Times New Roman"/>
          <w:snapToGrid w:val="0"/>
          <w:color w:val="auto"/>
          <w:kern w:val="0"/>
          <w:sz w:val="32"/>
          <w:szCs w:val="32"/>
          <w:lang w:val="en-US" w:eastAsia="zh-CN" w:bidi="ar"/>
        </w:rPr>
        <w:t>应具备数据资源加工、运营所需的管理和技术服务能力，经营状况和信用状况良好，符合国家数据安全保护要求；熟悉并理解国家和省、市公共数据资源管理和开发利用等法律法规、政策文件及相关规定；具备数据安全管理的环境和条件，具备对公共数据资源进行管理和应用的软硬件环境。</w:t>
      </w:r>
    </w:p>
    <w:p w14:paraId="4615A6DC">
      <w:pPr>
        <w:keepNext w:val="0"/>
        <w:keepLines w:val="0"/>
        <w:pageBreakBefore w:val="0"/>
        <w:widowControl w:val="0"/>
        <w:wordWrap/>
        <w:overflowPunct/>
        <w:topLinePunct w:val="0"/>
        <w:bidi w:val="0"/>
        <w:spacing w:line="56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napToGrid w:val="0"/>
          <w:color w:val="auto"/>
          <w:kern w:val="0"/>
          <w:sz w:val="32"/>
          <w:szCs w:val="32"/>
          <w:lang w:val="en-US" w:eastAsia="zh-CN" w:bidi="ar"/>
        </w:rPr>
        <w:t>运营机构存在下列情形的必须退出：授权运营协议期满未申请续期或提前解除协议的；不遵守授权运营协议相关规定的；评估结果为限期整改，运营机构制定整改方案后于30日内完成整改，并再次接受评估，若再次评估结果为限期整改或未通过的；发生数据安全事件，造成不良影响或者严重后果的；存在其他违反法律法规的情形。</w:t>
      </w:r>
    </w:p>
    <w:p w14:paraId="34D0F914">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left="0" w:leftChars="0" w:right="0" w:rightChars="0" w:firstLine="643" w:firstLineChars="200"/>
        <w:jc w:val="both"/>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lang w:val="en-US" w:eastAsia="zh-CN" w:bidi="ar-SA"/>
        </w:rPr>
        <w:t>4.规范运营机构产品开发及服务。</w:t>
      </w:r>
      <w:r>
        <w:rPr>
          <w:rFonts w:hint="default" w:ascii="Times New Roman" w:hAnsi="Times New Roman" w:eastAsia="仿宋_GB2312" w:cs="Times New Roman"/>
          <w:b w:val="0"/>
          <w:bCs w:val="0"/>
          <w:sz w:val="32"/>
          <w:szCs w:val="32"/>
          <w:highlight w:val="none"/>
          <w:lang w:val="en-US" w:eastAsia="zh-CN"/>
        </w:rPr>
        <w:t>运营机构</w:t>
      </w:r>
      <w:r>
        <w:rPr>
          <w:rFonts w:hint="default" w:ascii="Times New Roman" w:hAnsi="Times New Roman" w:eastAsia="仿宋_GB2312" w:cs="Times New Roman"/>
          <w:b w:val="0"/>
          <w:bCs w:val="0"/>
          <w:sz w:val="32"/>
          <w:szCs w:val="32"/>
          <w:highlight w:val="none"/>
          <w:lang w:val="en-US" w:eastAsia="zh-CN"/>
        </w:rPr>
        <w:t>依托安徽省公共数据资源运营平台，</w:t>
      </w:r>
      <w:r>
        <w:rPr>
          <w:rFonts w:hint="default" w:ascii="Times New Roman" w:hAnsi="Times New Roman" w:eastAsia="仿宋_GB2312" w:cs="Times New Roman"/>
          <w:b w:val="0"/>
          <w:bCs w:val="0"/>
          <w:sz w:val="32"/>
          <w:szCs w:val="32"/>
          <w:highlight w:val="none"/>
          <w:lang w:val="en-US" w:eastAsia="zh-CN"/>
        </w:rPr>
        <w:t>依法依规对授权范围内的公共数据资源进行开发，并面向市场提供数据产品和技术服务，</w:t>
      </w:r>
      <w:r>
        <w:rPr>
          <w:rFonts w:hint="default" w:ascii="Times New Roman" w:hAnsi="Times New Roman" w:eastAsia="仿宋_GB2312" w:cs="Times New Roman"/>
          <w:b w:val="0"/>
          <w:bCs w:val="0"/>
          <w:sz w:val="32"/>
          <w:szCs w:val="32"/>
          <w:lang w:val="en-US" w:eastAsia="zh-CN"/>
        </w:rPr>
        <w:t>通过市场化服务方式满足经济社会发展对公共数据的需要</w:t>
      </w:r>
      <w:r>
        <w:rPr>
          <w:rFonts w:hint="default" w:ascii="Times New Roman" w:hAnsi="Times New Roman" w:eastAsia="仿宋_GB2312" w:cs="Times New Roman"/>
          <w:b w:val="0"/>
          <w:bCs w:val="0"/>
          <w:sz w:val="32"/>
          <w:szCs w:val="32"/>
          <w:highlight w:val="none"/>
          <w:lang w:val="en-US" w:eastAsia="zh-CN"/>
        </w:rPr>
        <w:t>。</w:t>
      </w:r>
    </w:p>
    <w:p w14:paraId="0C10DD8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default" w:ascii="Times New Roman" w:hAnsi="Times New Roman" w:eastAsia="仿宋_GB2312" w:cs="Times New Roman"/>
          <w:b w:val="0"/>
          <w:snapToGrid w:val="0"/>
          <w:color w:val="auto"/>
          <w:kern w:val="0"/>
          <w:sz w:val="32"/>
          <w:szCs w:val="32"/>
          <w:lang w:val="en-US" w:eastAsia="zh-CN" w:bidi="ar-SA"/>
        </w:rPr>
      </w:pPr>
      <w:r>
        <w:rPr>
          <w:rFonts w:hint="default" w:ascii="Times New Roman" w:hAnsi="Times New Roman" w:eastAsia="仿宋_GB2312" w:cs="Times New Roman"/>
          <w:b w:val="0"/>
          <w:snapToGrid w:val="0"/>
          <w:color w:val="auto"/>
          <w:kern w:val="0"/>
          <w:sz w:val="32"/>
          <w:szCs w:val="32"/>
          <w:lang w:val="en-US" w:eastAsia="zh-CN" w:bidi="ar-SA"/>
        </w:rPr>
        <w:t>运营机构明确拟提供的产品和服务清单，包括支持“公共治理、公益事业”和“产业发展、行业发展”两大类，以及预期产品和服务形式等内容。相关产品和服务应按照公共数据资源登记管理要求进行登记，并报数据资源管理部门同意后实施。第一批拟提供的公共数据产品与服务清单详见附件3。</w:t>
      </w:r>
    </w:p>
    <w:p w14:paraId="1053BEB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b w:val="0"/>
          <w:snapToGrid w:val="0"/>
          <w:color w:val="auto"/>
          <w:kern w:val="0"/>
          <w:sz w:val="32"/>
          <w:szCs w:val="32"/>
          <w:lang w:val="en-US" w:eastAsia="zh-CN" w:bidi="ar-SA"/>
        </w:rPr>
      </w:pPr>
      <w:r>
        <w:rPr>
          <w:rFonts w:hint="default" w:ascii="Times New Roman" w:hAnsi="Times New Roman" w:eastAsia="仿宋_GB2312" w:cs="Times New Roman"/>
          <w:b/>
          <w:bCs/>
          <w:snapToGrid w:val="0"/>
          <w:color w:val="auto"/>
          <w:kern w:val="0"/>
          <w:sz w:val="32"/>
          <w:szCs w:val="32"/>
          <w:lang w:val="en-US" w:eastAsia="zh-CN" w:bidi="ar-SA"/>
        </w:rPr>
        <w:t>5.建立成本核算和收益分配机制。</w:t>
      </w:r>
      <w:r>
        <w:rPr>
          <w:rFonts w:hint="default" w:ascii="Times New Roman" w:hAnsi="Times New Roman" w:eastAsia="仿宋_GB2312" w:cs="Times New Roman"/>
          <w:b w:val="0"/>
          <w:snapToGrid w:val="0"/>
          <w:color w:val="auto"/>
          <w:kern w:val="0"/>
          <w:sz w:val="32"/>
          <w:szCs w:val="32"/>
          <w:lang w:val="en-US" w:eastAsia="zh-CN" w:bidi="ar-SA"/>
        </w:rPr>
        <w:t>按照“谁投入、谁贡献、谁受益”原则，强化基于数据价值创造和价值实现的激励导向，平衡兼顾数据内容采集、加工、流通、应用等不同环节相关主体之间的利益分配，建立政府部门、运营机构、合伙人等合理收益分配机制。</w:t>
      </w:r>
    </w:p>
    <w:p w14:paraId="2EE8D297">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b w:val="0"/>
          <w:snapToGrid w:val="0"/>
          <w:color w:val="auto"/>
          <w:kern w:val="0"/>
          <w:sz w:val="32"/>
          <w:szCs w:val="32"/>
          <w:lang w:val="en-US" w:eastAsia="zh-CN" w:bidi="ar-SA"/>
        </w:rPr>
      </w:pPr>
      <w:r>
        <w:rPr>
          <w:rFonts w:hint="default" w:ascii="Times New Roman" w:hAnsi="Times New Roman" w:eastAsia="仿宋_GB2312" w:cs="Times New Roman"/>
          <w:color w:val="auto"/>
          <w:sz w:val="32"/>
          <w:szCs w:val="32"/>
          <w:lang w:val="en-US" w:eastAsia="zh-CN"/>
        </w:rPr>
        <w:t>根据《关于做好公共数据资源授权运营价格形成机制贯彻落实工作的通知》（皖发改价费〔2025〕256号）文件要求，我市公共数据资源授权运营服务费实行政府指导价管理。</w:t>
      </w:r>
      <w:r>
        <w:rPr>
          <w:rFonts w:hint="default" w:ascii="Times New Roman" w:hAnsi="Times New Roman" w:eastAsia="仿宋_GB2312" w:cs="Times New Roman"/>
          <w:b w:val="0"/>
          <w:snapToGrid w:val="0"/>
          <w:color w:val="auto"/>
          <w:kern w:val="0"/>
          <w:sz w:val="32"/>
          <w:szCs w:val="32"/>
          <w:lang w:val="en-US" w:eastAsia="zh-CN" w:bidi="ar-SA"/>
        </w:rPr>
        <w:t>对用于公共治理、公益事业的数据产品或服务，免费提供；对用于产业发展、行业发展的，可收取公共数据运营服务费。发展改革部门会同数据资源管理部门按照“补偿成本、合理盈利”的原则核定运营机构最高准许收入，最高准许收入包括经营成本、准许利润和税金；在最高准许收入范围内制定各类产品服务上限收费标准，运营机构在不超过上限收费标准范围内确定具体收费标准；指导运营机构建立健全内部价格管理制度，单独核算并准确记录公共数据资源授权运营经营成本和收入等情况，及时调整定价过高、社会反映强烈的收费。</w:t>
      </w:r>
    </w:p>
    <w:p w14:paraId="03F992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lang w:eastAsia="zh-CN"/>
        </w:rPr>
        <w:t>（二）加强授权运营安全保障</w:t>
      </w:r>
    </w:p>
    <w:p w14:paraId="48614EB7">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afterLines="0" w:line="560" w:lineRule="exact"/>
        <w:ind w:left="0" w:leftChars="0" w:firstLine="643" w:firstLineChars="200"/>
        <w:textAlignment w:val="baseline"/>
        <w:rPr>
          <w:rFonts w:hint="default" w:ascii="Times New Roman" w:hAnsi="Times New Roman" w:eastAsia="仿宋_GB2312" w:cs="Times New Roman"/>
          <w:b/>
          <w:bCs/>
          <w:snapToGrid w:val="0"/>
          <w:color w:val="auto"/>
          <w:kern w:val="0"/>
          <w:sz w:val="32"/>
          <w:szCs w:val="32"/>
          <w:lang w:val="en-US" w:eastAsia="zh-CN" w:bidi="ar-SA"/>
        </w:rPr>
      </w:pPr>
      <w:r>
        <w:rPr>
          <w:rFonts w:hint="default" w:ascii="Times New Roman" w:hAnsi="Times New Roman" w:eastAsia="仿宋_GB2312" w:cs="Times New Roman"/>
          <w:b/>
          <w:bCs/>
          <w:snapToGrid w:val="0"/>
          <w:color w:val="auto"/>
          <w:kern w:val="0"/>
          <w:sz w:val="32"/>
          <w:szCs w:val="32"/>
          <w:lang w:val="en-US" w:eastAsia="zh-CN" w:bidi="ar-SA"/>
        </w:rPr>
        <w:t>6.加强数据安全全流程监管。</w:t>
      </w:r>
      <w:r>
        <w:rPr>
          <w:rFonts w:hint="default" w:ascii="Times New Roman" w:hAnsi="Times New Roman" w:eastAsia="仿宋_GB2312" w:cs="Times New Roman"/>
          <w:b w:val="0"/>
          <w:snapToGrid w:val="0"/>
          <w:color w:val="auto"/>
          <w:kern w:val="0"/>
          <w:sz w:val="32"/>
          <w:szCs w:val="32"/>
          <w:lang w:val="en-US" w:eastAsia="zh-CN" w:bidi="ar-SA"/>
        </w:rPr>
        <w:t>数据资源管理部门</w:t>
      </w:r>
      <w:r>
        <w:rPr>
          <w:rFonts w:hint="default" w:ascii="Times New Roman" w:hAnsi="Times New Roman" w:eastAsia="仿宋_GB2312" w:cs="Times New Roman"/>
          <w:b w:val="0"/>
          <w:snapToGrid w:val="0"/>
          <w:color w:val="auto"/>
          <w:kern w:val="0"/>
          <w:sz w:val="32"/>
          <w:szCs w:val="32"/>
          <w:lang w:val="en-US" w:eastAsia="zh-CN" w:bidi="ar-SA"/>
        </w:rPr>
        <w:t>会同相关部门按照“谁管理、谁负责”和“谁使用、谁负责”要求，建立健全</w:t>
      </w:r>
      <w:r>
        <w:rPr>
          <w:rFonts w:hint="default" w:ascii="Times New Roman" w:hAnsi="Times New Roman" w:eastAsia="仿宋_GB2312" w:cs="Times New Roman"/>
          <w:b w:val="0"/>
          <w:snapToGrid w:val="0"/>
          <w:color w:val="auto"/>
          <w:kern w:val="0"/>
          <w:sz w:val="32"/>
          <w:szCs w:val="32"/>
          <w:lang w:val="en-US" w:eastAsia="zh-CN" w:bidi="ar-SA"/>
        </w:rPr>
        <w:t>授权运营数据安全全流程监管机制，</w:t>
      </w:r>
      <w:r>
        <w:rPr>
          <w:rFonts w:hint="default" w:ascii="Times New Roman" w:hAnsi="Times New Roman" w:eastAsia="仿宋_GB2312" w:cs="Times New Roman"/>
          <w:b w:val="0"/>
          <w:bCs w:val="0"/>
          <w:sz w:val="32"/>
          <w:szCs w:val="32"/>
        </w:rPr>
        <w:t>充分发挥政府监管职能，明确监管红线，规范数据</w:t>
      </w:r>
      <w:r>
        <w:rPr>
          <w:rFonts w:hint="default" w:ascii="Times New Roman" w:hAnsi="Times New Roman" w:eastAsia="仿宋_GB2312" w:cs="Times New Roman"/>
          <w:b w:val="0"/>
          <w:bCs w:val="0"/>
          <w:sz w:val="32"/>
          <w:szCs w:val="32"/>
          <w:lang w:eastAsia="zh-CN"/>
        </w:rPr>
        <w:t>运营</w:t>
      </w:r>
      <w:r>
        <w:rPr>
          <w:rFonts w:hint="default" w:ascii="Times New Roman" w:hAnsi="Times New Roman" w:eastAsia="仿宋_GB2312" w:cs="Times New Roman"/>
          <w:b w:val="0"/>
          <w:bCs w:val="0"/>
          <w:sz w:val="32"/>
          <w:szCs w:val="32"/>
        </w:rPr>
        <w:t>行为</w:t>
      </w:r>
      <w:r>
        <w:rPr>
          <w:rFonts w:hint="default" w:ascii="Times New Roman" w:hAnsi="Times New Roman" w:eastAsia="仿宋_GB2312" w:cs="Times New Roman"/>
          <w:b w:val="0"/>
          <w:snapToGrid w:val="0"/>
          <w:color w:val="auto"/>
          <w:kern w:val="0"/>
          <w:sz w:val="32"/>
          <w:szCs w:val="32"/>
          <w:lang w:val="en-US" w:eastAsia="zh-CN" w:bidi="ar-SA"/>
        </w:rPr>
        <w:t>。</w:t>
      </w:r>
      <w:r>
        <w:rPr>
          <w:rFonts w:hint="default" w:ascii="Times New Roman" w:hAnsi="Times New Roman" w:eastAsia="仿宋_GB2312" w:cs="Times New Roman"/>
          <w:b w:val="0"/>
          <w:snapToGrid w:val="0"/>
          <w:color w:val="auto"/>
          <w:kern w:val="0"/>
          <w:sz w:val="32"/>
          <w:szCs w:val="32"/>
          <w:lang w:val="en-US" w:eastAsia="zh-CN" w:bidi="ar-SA"/>
        </w:rPr>
        <w:t>运营机构在公共数据资源授权运营过程中履行数据安全主体责任，严格落实</w:t>
      </w:r>
      <w:r>
        <w:rPr>
          <w:rFonts w:hint="default" w:ascii="Times New Roman" w:hAnsi="Times New Roman" w:eastAsia="仿宋_GB2312" w:cs="Times New Roman"/>
          <w:color w:val="auto"/>
          <w:sz w:val="32"/>
          <w:szCs w:val="32"/>
          <w:lang w:eastAsia="zh-CN"/>
        </w:rPr>
        <w:t>公共数据资源</w:t>
      </w:r>
      <w:r>
        <w:rPr>
          <w:rFonts w:hint="default" w:ascii="Times New Roman" w:hAnsi="Times New Roman" w:eastAsia="仿宋_GB2312" w:cs="Times New Roman"/>
          <w:color w:val="auto"/>
          <w:sz w:val="32"/>
          <w:szCs w:val="32"/>
          <w:lang w:val="en-US" w:eastAsia="zh-CN"/>
        </w:rPr>
        <w:t>授权运营</w:t>
      </w:r>
      <w:r>
        <w:rPr>
          <w:rFonts w:hint="default" w:ascii="Times New Roman" w:hAnsi="Times New Roman" w:eastAsia="仿宋_GB2312" w:cs="Times New Roman"/>
          <w:b w:val="0"/>
          <w:snapToGrid w:val="0"/>
          <w:color w:val="auto"/>
          <w:kern w:val="0"/>
          <w:sz w:val="32"/>
          <w:szCs w:val="32"/>
          <w:lang w:val="en-US" w:eastAsia="zh-CN" w:bidi="ar-SA"/>
        </w:rPr>
        <w:t>相关安全管理要求，</w:t>
      </w:r>
      <w:r>
        <w:rPr>
          <w:rFonts w:hint="default" w:ascii="Times New Roman" w:hAnsi="Times New Roman" w:eastAsia="仿宋_GB2312" w:cs="Times New Roman"/>
          <w:b w:val="0"/>
          <w:color w:val="auto"/>
          <w:kern w:val="2"/>
          <w:sz w:val="32"/>
          <w:szCs w:val="22"/>
          <w:highlight w:val="none"/>
          <w:lang w:val="en-US" w:eastAsia="zh-CN" w:bidi="ar-SA"/>
        </w:rPr>
        <w:t>定期开展数据安全应急演练和数据安全风险评估，对发现的风险隐患及时整改。</w:t>
      </w:r>
      <w:r>
        <w:rPr>
          <w:rFonts w:hint="default" w:ascii="Times New Roman" w:hAnsi="Times New Roman" w:eastAsia="仿宋_GB2312" w:cs="Times New Roman"/>
          <w:b w:val="0"/>
          <w:snapToGrid w:val="0"/>
          <w:color w:val="auto"/>
          <w:kern w:val="0"/>
          <w:sz w:val="32"/>
          <w:szCs w:val="32"/>
          <w:lang w:val="en-US" w:eastAsia="zh-CN" w:bidi="ar-SA"/>
        </w:rPr>
        <w:t>按照“原始数据不出域、数据可用不可见”的要求，在不危害国家安全、公共利益，不侵犯商业秘密和个人隐私、个人信息权益的前提下，推动公共数据有序流动与应用。</w:t>
      </w:r>
    </w:p>
    <w:p w14:paraId="0AC5F9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napToGrid w:val="0"/>
          <w:color w:val="auto"/>
          <w:kern w:val="0"/>
          <w:sz w:val="32"/>
          <w:szCs w:val="32"/>
          <w:lang w:val="en-US" w:eastAsia="zh-CN" w:bidi="ar-SA"/>
        </w:rPr>
        <w:t>7.提升</w:t>
      </w:r>
      <w:r>
        <w:rPr>
          <w:rFonts w:hint="default" w:ascii="Times New Roman" w:hAnsi="Times New Roman" w:eastAsia="仿宋_GB2312" w:cs="Times New Roman"/>
          <w:b/>
          <w:bCs/>
          <w:sz w:val="32"/>
          <w:szCs w:val="32"/>
          <w:lang w:eastAsia="zh-CN"/>
        </w:rPr>
        <w:t>安全技术保障能力。</w:t>
      </w:r>
      <w:r>
        <w:rPr>
          <w:rFonts w:hint="default" w:ascii="Times New Roman" w:hAnsi="Times New Roman" w:eastAsia="仿宋_GB2312" w:cs="Times New Roman"/>
          <w:b w:val="0"/>
          <w:bCs w:val="0"/>
          <w:sz w:val="32"/>
          <w:szCs w:val="32"/>
          <w:lang w:eastAsia="zh-CN"/>
        </w:rPr>
        <w:t>运营机构在现有平台能力基础上拓展建设经测试认证的专业化数据开发技术支撑工具和运营管理工具，通过使用控制、数据沙箱、智能合约、隐私计算、高性能密态计算等安全、合规、可信的方式加工处理公共数据资源，提供公共数据产品和服务。</w:t>
      </w:r>
    </w:p>
    <w:p w14:paraId="449E9C67">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afterLines="0" w:line="560" w:lineRule="exact"/>
        <w:ind w:left="0" w:leftChars="0" w:firstLine="643" w:firstLineChars="200"/>
        <w:textAlignment w:val="baseline"/>
        <w:rPr>
          <w:rFonts w:hint="default" w:ascii="Times New Roman" w:hAnsi="Times New Roman" w:eastAsia="仿宋_GB2312" w:cs="Times New Roman"/>
          <w:b w:val="0"/>
          <w:snapToGrid w:val="0"/>
          <w:color w:val="auto"/>
          <w:kern w:val="0"/>
          <w:sz w:val="32"/>
          <w:szCs w:val="32"/>
          <w:lang w:val="en-US" w:eastAsia="zh-CN" w:bidi="ar-SA"/>
        </w:rPr>
      </w:pPr>
      <w:r>
        <w:rPr>
          <w:rFonts w:hint="default" w:ascii="Times New Roman" w:hAnsi="Times New Roman" w:eastAsia="仿宋_GB2312" w:cs="Times New Roman"/>
          <w:b/>
          <w:bCs/>
          <w:snapToGrid w:val="0"/>
          <w:color w:val="auto"/>
          <w:kern w:val="0"/>
          <w:sz w:val="32"/>
          <w:szCs w:val="32"/>
          <w:lang w:val="en-US" w:eastAsia="zh-CN" w:bidi="ar-SA"/>
        </w:rPr>
        <w:t>8.制定</w:t>
      </w:r>
      <w:r>
        <w:rPr>
          <w:rFonts w:hint="default" w:ascii="Times New Roman" w:hAnsi="Times New Roman" w:eastAsia="仿宋_GB2312" w:cs="Times New Roman"/>
          <w:b/>
          <w:bCs/>
          <w:sz w:val="32"/>
          <w:szCs w:val="32"/>
          <w:lang w:val="en-US" w:eastAsia="zh-CN"/>
        </w:rPr>
        <w:t>安全应急处置预案。</w:t>
      </w:r>
      <w:r>
        <w:rPr>
          <w:rFonts w:hint="default" w:ascii="Times New Roman" w:hAnsi="Times New Roman" w:eastAsia="仿宋_GB2312" w:cs="Times New Roman"/>
          <w:b w:val="0"/>
          <w:snapToGrid w:val="0"/>
          <w:color w:val="auto"/>
          <w:kern w:val="0"/>
          <w:sz w:val="32"/>
          <w:szCs w:val="32"/>
          <w:lang w:val="en-US" w:eastAsia="zh-CN" w:bidi="ar-SA"/>
        </w:rPr>
        <w:t>运营机构编制应急处置预案，建立明确的应急响应流程，包括预警、启动、处置和恢复等环节，建立实时监控系统，对数据运营过程中的异常情况进行及时预警，定期对员工进行数据安全和应急处置方面的培训，组织应急演练，提高运营参与各方在紧急情况下的应对能力和协作效率。</w:t>
      </w:r>
    </w:p>
    <w:p w14:paraId="7F0A5D5C">
      <w:pPr>
        <w:pStyle w:val="5"/>
        <w:keepNext w:val="0"/>
        <w:keepLines w:val="0"/>
        <w:pageBreakBefore w:val="0"/>
        <w:widowControl w:val="0"/>
        <w:numPr>
          <w:ilvl w:val="0"/>
          <w:numId w:val="0"/>
        </w:numPr>
        <w:wordWrap/>
        <w:overflowPunct/>
        <w:topLinePunct w:val="0"/>
        <w:bidi w:val="0"/>
        <w:spacing w:after="0" w:afterLines="0" w:line="560" w:lineRule="exact"/>
        <w:ind w:leftChars="200"/>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（三）驱动数据产业生态建设</w:t>
      </w:r>
    </w:p>
    <w:p w14:paraId="72F411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bCs/>
          <w:kern w:val="2"/>
          <w:sz w:val="32"/>
          <w:szCs w:val="32"/>
          <w:lang w:val="en-US" w:eastAsia="zh-CN" w:bidi="ar-SA"/>
        </w:rPr>
        <w:t>9.吸引汇聚多元数据主体。</w:t>
      </w:r>
      <w:r>
        <w:rPr>
          <w:rFonts w:hint="default" w:ascii="Times New Roman" w:hAnsi="Times New Roman" w:eastAsia="仿宋_GB2312" w:cs="Times New Roman"/>
          <w:b w:val="0"/>
          <w:bCs w:val="0"/>
          <w:kern w:val="2"/>
          <w:sz w:val="32"/>
          <w:szCs w:val="32"/>
          <w:highlight w:val="none"/>
          <w:lang w:val="en-US" w:eastAsia="zh-CN" w:bidi="ar-SA"/>
        </w:rPr>
        <w:t>强化政策牵引，深入落实国家数据要素市场化配置改革要求与公共数据资源授权运营相关政策，健全数据资产登记、确权、估值、交易撮合、合规咨询等全链条服务，定向招引数据应用、数据服务、数据技术、数据安全等多元数据主体及行业领军企业，吸纳长三角区域优质数商资源。</w:t>
      </w:r>
    </w:p>
    <w:p w14:paraId="4A1671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bCs/>
          <w:kern w:val="2"/>
          <w:sz w:val="32"/>
          <w:szCs w:val="32"/>
          <w:highlight w:val="none"/>
          <w:lang w:val="en-US" w:eastAsia="zh-CN" w:bidi="ar-SA"/>
        </w:rPr>
        <w:t>10.打造数据产业集聚区。</w:t>
      </w:r>
      <w:r>
        <w:rPr>
          <w:rFonts w:hint="default" w:ascii="Times New Roman" w:hAnsi="Times New Roman" w:eastAsia="仿宋_GB2312" w:cs="Times New Roman"/>
          <w:b w:val="0"/>
          <w:bCs w:val="0"/>
          <w:sz w:val="32"/>
          <w:szCs w:val="32"/>
          <w:highlight w:val="none"/>
          <w:lang w:val="en-US" w:eastAsia="zh-CN"/>
        </w:rPr>
        <w:t>依托淮南高新区大数据产业集聚发展基地与经济技术开发区省级大数据产业园，整合中国移动长三角（淮南）数据中心、智算中心等资源，构建“算力支撑+数据交易+场景应用”一体化产业载体。围绕数据存储、计算、标注、治理、交易流通及应用服务等领域打造数据要素全产业链，探索多主体、多形态合作协同，共同推进数据要素相关产业集聚及生态体系构建。</w:t>
      </w:r>
    </w:p>
    <w:p w14:paraId="2F5EC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四、保障措施</w:t>
      </w:r>
    </w:p>
    <w:p w14:paraId="79D9B8D3">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afterLines="0" w:line="560" w:lineRule="exact"/>
        <w:ind w:left="0" w:leftChars="0" w:firstLine="640" w:firstLineChars="200"/>
        <w:textAlignment w:val="baseline"/>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eastAsia="zh-CN"/>
        </w:rPr>
        <w:t>明确责任分工。</w:t>
      </w:r>
    </w:p>
    <w:p w14:paraId="1FD56EDA">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afterLines="0" w:line="560" w:lineRule="exact"/>
        <w:ind w:left="0" w:leftChars="0" w:firstLine="640" w:firstLineChars="200"/>
        <w:textAlignment w:val="baseline"/>
        <w:rPr>
          <w:rFonts w:hint="default" w:ascii="Times New Roman" w:hAnsi="Times New Roman" w:eastAsia="仿宋_GB2312" w:cs="Times New Roman"/>
          <w:b w:val="0"/>
          <w:snapToGrid w:val="0"/>
          <w:color w:val="auto"/>
          <w:kern w:val="0"/>
          <w:sz w:val="32"/>
          <w:szCs w:val="32"/>
          <w:lang w:val="en-US" w:eastAsia="zh-CN" w:bidi="ar-SA"/>
        </w:rPr>
      </w:pPr>
      <w:r>
        <w:rPr>
          <w:rFonts w:hint="default" w:ascii="Times New Roman" w:hAnsi="Times New Roman" w:eastAsia="仿宋_GB2312" w:cs="Times New Roman"/>
          <w:b w:val="0"/>
          <w:bCs w:val="0"/>
          <w:sz w:val="32"/>
          <w:szCs w:val="32"/>
          <w:lang w:val="en-US" w:eastAsia="zh-CN"/>
        </w:rPr>
        <w:t>数据资源管理部门</w:t>
      </w:r>
      <w:r>
        <w:rPr>
          <w:rFonts w:hint="default" w:ascii="Times New Roman" w:hAnsi="Times New Roman" w:eastAsia="仿宋_GB2312" w:cs="Times New Roman"/>
          <w:b w:val="0"/>
          <w:snapToGrid w:val="0"/>
          <w:color w:val="auto"/>
          <w:kern w:val="0"/>
          <w:sz w:val="32"/>
          <w:szCs w:val="32"/>
          <w:lang w:val="en-US" w:eastAsia="zh-CN" w:bidi="ar-SA"/>
        </w:rPr>
        <w:t>负责本市行政区域内公共数据资源授权运营工作的统筹管理、安全监管和监督评价，健全完善授权运营相关制度规范和工作机制，协调解决授权运营工作中的重大问题。</w:t>
      </w:r>
    </w:p>
    <w:p w14:paraId="4E1CA08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发展改革部门</w:t>
      </w:r>
      <w:r>
        <w:rPr>
          <w:rFonts w:hint="default" w:ascii="Times New Roman" w:hAnsi="Times New Roman" w:eastAsia="仿宋_GB2312" w:cs="Times New Roman"/>
          <w:b w:val="0"/>
          <w:bCs w:val="0"/>
          <w:sz w:val="32"/>
          <w:szCs w:val="32"/>
          <w:lang w:val="en-US" w:eastAsia="zh-CN"/>
        </w:rPr>
        <w:t>负责核定运营机构最高准许收入并开展定期评估</w:t>
      </w:r>
      <w:r>
        <w:rPr>
          <w:rFonts w:hint="default" w:ascii="Times New Roman" w:hAnsi="Times New Roman" w:eastAsia="仿宋_GB2312" w:cs="Times New Roman"/>
          <w:b w:val="0"/>
          <w:bCs w:val="0"/>
          <w:sz w:val="32"/>
          <w:szCs w:val="32"/>
          <w:lang w:val="en-US" w:eastAsia="zh-CN"/>
        </w:rPr>
        <w:t>，指导运营机构建立健全内部价格管理制度，推动运营机构及时向社会公示数据产品和服务项目清单及相关收费标准。</w:t>
      </w:r>
    </w:p>
    <w:p w14:paraId="1F18C459">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市场监管</w:t>
      </w:r>
      <w:r>
        <w:rPr>
          <w:rFonts w:hint="default" w:ascii="Times New Roman" w:hAnsi="Times New Roman" w:eastAsia="仿宋_GB2312" w:cs="Times New Roman"/>
          <w:b w:val="0"/>
          <w:bCs w:val="0"/>
          <w:sz w:val="32"/>
          <w:szCs w:val="32"/>
          <w:lang w:val="en-US" w:eastAsia="zh-CN"/>
        </w:rPr>
        <w:t>部门负责会同有关部门</w:t>
      </w:r>
      <w:r>
        <w:rPr>
          <w:rFonts w:hint="default" w:ascii="Times New Roman" w:hAnsi="Times New Roman" w:eastAsia="仿宋_GB2312" w:cs="Times New Roman"/>
          <w:b w:val="0"/>
          <w:bCs w:val="0"/>
          <w:sz w:val="32"/>
          <w:szCs w:val="32"/>
          <w:lang w:val="en-US" w:eastAsia="zh-CN"/>
        </w:rPr>
        <w:t>依法查处不执行政府指导价、价格欺诈</w:t>
      </w:r>
      <w:r>
        <w:rPr>
          <w:rFonts w:hint="default" w:ascii="Times New Roman" w:hAnsi="Times New Roman" w:eastAsia="仿宋_GB2312" w:cs="Times New Roman"/>
          <w:b w:val="0"/>
          <w:bCs w:val="0"/>
          <w:sz w:val="32"/>
          <w:szCs w:val="32"/>
          <w:lang w:val="en-US" w:eastAsia="zh-CN"/>
        </w:rPr>
        <w:t>及不按规定明码标价</w:t>
      </w:r>
      <w:r>
        <w:rPr>
          <w:rFonts w:hint="default" w:ascii="Times New Roman" w:hAnsi="Times New Roman" w:eastAsia="仿宋_GB2312" w:cs="Times New Roman"/>
          <w:b w:val="0"/>
          <w:bCs w:val="0"/>
          <w:sz w:val="32"/>
          <w:szCs w:val="32"/>
          <w:lang w:val="en-US" w:eastAsia="zh-CN"/>
        </w:rPr>
        <w:t>等行为</w:t>
      </w:r>
      <w:r>
        <w:rPr>
          <w:rFonts w:hint="default" w:ascii="Times New Roman" w:hAnsi="Times New Roman" w:eastAsia="仿宋_GB2312" w:cs="Times New Roman"/>
          <w:b w:val="0"/>
          <w:bCs w:val="0"/>
          <w:sz w:val="32"/>
          <w:szCs w:val="32"/>
          <w:lang w:val="en-US" w:eastAsia="zh-CN"/>
        </w:rPr>
        <w:t>。</w:t>
      </w:r>
    </w:p>
    <w:p w14:paraId="26B74382">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财政部门</w:t>
      </w:r>
      <w:r>
        <w:rPr>
          <w:rFonts w:hint="default" w:ascii="Times New Roman" w:hAnsi="Times New Roman" w:eastAsia="仿宋_GB2312" w:cs="Times New Roman"/>
          <w:b w:val="0"/>
          <w:bCs w:val="0"/>
          <w:sz w:val="32"/>
          <w:szCs w:val="32"/>
          <w:lang w:val="en-US" w:eastAsia="zh-CN"/>
        </w:rPr>
        <w:t>负责</w:t>
      </w:r>
      <w:r>
        <w:rPr>
          <w:rFonts w:hint="default" w:ascii="Times New Roman" w:hAnsi="Times New Roman" w:eastAsia="仿宋_GB2312" w:cs="Times New Roman"/>
          <w:b w:val="0"/>
          <w:bCs w:val="0"/>
          <w:sz w:val="32"/>
          <w:szCs w:val="32"/>
          <w:lang w:val="en-US" w:eastAsia="zh-CN"/>
        </w:rPr>
        <w:t>加强对行政事业单位数据资产的统筹管理，按规定开展</w:t>
      </w:r>
      <w:r>
        <w:rPr>
          <w:rFonts w:hint="default" w:ascii="Times New Roman" w:hAnsi="Times New Roman" w:eastAsia="仿宋_GB2312" w:cs="Times New Roman"/>
          <w:b w:val="0"/>
          <w:bCs w:val="0"/>
          <w:sz w:val="32"/>
          <w:szCs w:val="32"/>
          <w:lang w:val="en-US" w:eastAsia="zh-CN"/>
        </w:rPr>
        <w:t>数据资产全过程管理</w:t>
      </w:r>
      <w:r>
        <w:rPr>
          <w:rFonts w:hint="default" w:ascii="Times New Roman" w:hAnsi="Times New Roman" w:eastAsia="仿宋_GB2312" w:cs="Times New Roman"/>
          <w:b w:val="0"/>
          <w:bCs w:val="0"/>
          <w:sz w:val="32"/>
          <w:szCs w:val="32"/>
          <w:lang w:val="en-US" w:eastAsia="zh-CN"/>
        </w:rPr>
        <w:t>，依规维护数据资产权益，有关收益纳入政府预算管理，防止国有资产流失。</w:t>
      </w:r>
    </w:p>
    <w:p w14:paraId="03990EB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网信</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公安等</w:t>
      </w:r>
      <w:r>
        <w:rPr>
          <w:rFonts w:hint="default"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负责数据安全</w:t>
      </w:r>
      <w:r>
        <w:rPr>
          <w:rFonts w:hint="default" w:ascii="Times New Roman" w:hAnsi="Times New Roman" w:eastAsia="仿宋_GB2312" w:cs="Times New Roman"/>
          <w:b w:val="0"/>
          <w:bCs w:val="0"/>
          <w:sz w:val="32"/>
          <w:szCs w:val="32"/>
          <w:lang w:val="en-US" w:eastAsia="zh-CN"/>
        </w:rPr>
        <w:t>相关</w:t>
      </w:r>
      <w:r>
        <w:rPr>
          <w:rFonts w:hint="default" w:ascii="Times New Roman" w:hAnsi="Times New Roman" w:eastAsia="仿宋_GB2312" w:cs="Times New Roman"/>
          <w:b w:val="0"/>
          <w:bCs w:val="0"/>
          <w:sz w:val="32"/>
          <w:szCs w:val="32"/>
          <w:lang w:val="en-US" w:eastAsia="zh-CN"/>
        </w:rPr>
        <w:t>监管</w:t>
      </w:r>
      <w:r>
        <w:rPr>
          <w:rFonts w:hint="default" w:ascii="Times New Roman" w:hAnsi="Times New Roman" w:eastAsia="仿宋_GB2312" w:cs="Times New Roman"/>
          <w:b w:val="0"/>
          <w:bCs w:val="0"/>
          <w:sz w:val="32"/>
          <w:szCs w:val="32"/>
          <w:lang w:val="en-US" w:eastAsia="zh-CN"/>
        </w:rPr>
        <w:t>工作</w:t>
      </w:r>
      <w:r>
        <w:rPr>
          <w:rFonts w:hint="default" w:ascii="Times New Roman" w:hAnsi="Times New Roman" w:eastAsia="仿宋_GB2312" w:cs="Times New Roman"/>
          <w:b w:val="0"/>
          <w:bCs w:val="0"/>
          <w:sz w:val="32"/>
          <w:szCs w:val="32"/>
          <w:lang w:val="en-US" w:eastAsia="zh-CN"/>
        </w:rPr>
        <w:t>。</w:t>
      </w:r>
    </w:p>
    <w:p w14:paraId="712337EE">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afterLines="0" w:line="560" w:lineRule="exact"/>
        <w:ind w:left="0" w:leftChars="0" w:firstLine="640" w:firstLineChars="200"/>
        <w:textAlignment w:val="baseline"/>
        <w:rPr>
          <w:rFonts w:hint="default" w:ascii="Times New Roman" w:hAnsi="Times New Roman" w:eastAsia="仿宋_GB2312" w:cs="Times New Roman"/>
          <w:b w:val="0"/>
          <w:snapToGrid w:val="0"/>
          <w:color w:val="auto"/>
          <w:kern w:val="0"/>
          <w:sz w:val="32"/>
          <w:szCs w:val="32"/>
          <w:lang w:val="en-US" w:eastAsia="zh-CN" w:bidi="ar-SA"/>
        </w:rPr>
      </w:pPr>
      <w:r>
        <w:rPr>
          <w:rFonts w:hint="default" w:ascii="Times New Roman" w:hAnsi="Times New Roman" w:eastAsia="仿宋_GB2312" w:cs="Times New Roman"/>
          <w:b w:val="0"/>
          <w:bCs w:val="0"/>
          <w:sz w:val="32"/>
          <w:szCs w:val="32"/>
          <w:lang w:val="en-US" w:eastAsia="zh-CN"/>
        </w:rPr>
        <w:t>数据提供部门负责开展本部门公共数据</w:t>
      </w:r>
      <w:r>
        <w:rPr>
          <w:rFonts w:hint="default" w:ascii="Times New Roman" w:hAnsi="Times New Roman" w:eastAsia="仿宋_GB2312" w:cs="Times New Roman"/>
          <w:b w:val="0"/>
          <w:bCs w:val="0"/>
          <w:sz w:val="32"/>
          <w:szCs w:val="32"/>
          <w:lang w:val="en-US" w:eastAsia="zh-CN"/>
        </w:rPr>
        <w:t>分级分类、公共数据资源更新和治理、数据资源</w:t>
      </w:r>
      <w:r>
        <w:rPr>
          <w:rFonts w:hint="default" w:ascii="Times New Roman" w:hAnsi="Times New Roman" w:eastAsia="仿宋_GB2312" w:cs="Times New Roman"/>
          <w:b w:val="0"/>
          <w:bCs w:val="0"/>
          <w:sz w:val="32"/>
          <w:szCs w:val="32"/>
          <w:lang w:val="en-US" w:eastAsia="zh-CN"/>
        </w:rPr>
        <w:t>目录编制、登记</w:t>
      </w:r>
      <w:r>
        <w:rPr>
          <w:rFonts w:hint="default" w:ascii="Times New Roman" w:hAnsi="Times New Roman" w:eastAsia="仿宋_GB2312" w:cs="Times New Roman"/>
          <w:b w:val="0"/>
          <w:bCs w:val="0"/>
          <w:sz w:val="32"/>
          <w:szCs w:val="32"/>
          <w:lang w:val="en-US" w:eastAsia="zh-CN"/>
        </w:rPr>
        <w:t>管理</w:t>
      </w:r>
      <w:r>
        <w:rPr>
          <w:rFonts w:hint="default" w:ascii="Times New Roman" w:hAnsi="Times New Roman" w:eastAsia="仿宋_GB2312" w:cs="Times New Roman"/>
          <w:b w:val="0"/>
          <w:bCs w:val="0"/>
          <w:sz w:val="32"/>
          <w:szCs w:val="32"/>
          <w:lang w:val="en-US" w:eastAsia="zh-CN"/>
        </w:rPr>
        <w:t>等工作</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snapToGrid w:val="0"/>
          <w:color w:val="auto"/>
          <w:kern w:val="0"/>
          <w:sz w:val="32"/>
          <w:szCs w:val="32"/>
          <w:lang w:val="en-US" w:eastAsia="zh-CN" w:bidi="ar-SA"/>
        </w:rPr>
        <w:t>配合做好授权运营场景评审，根据行业发展需求可依法依规推荐合伙人、提出场景建设方案，根据需要开展本部门数据采集、治理、接口开发、挖掘、分析等工作。</w:t>
      </w:r>
    </w:p>
    <w:p w14:paraId="5DAD5A93">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运营机构履行数据安全主体责任，</w:t>
      </w:r>
      <w:r>
        <w:rPr>
          <w:rFonts w:hint="default" w:ascii="Times New Roman" w:hAnsi="Times New Roman" w:eastAsia="仿宋_GB2312" w:cs="Times New Roman"/>
          <w:b w:val="0"/>
          <w:bCs w:val="0"/>
          <w:sz w:val="32"/>
          <w:szCs w:val="32"/>
          <w:lang w:val="en-US" w:eastAsia="zh-CN"/>
        </w:rPr>
        <w:t>负责</w:t>
      </w:r>
      <w:r>
        <w:rPr>
          <w:rFonts w:hint="default" w:ascii="Times New Roman" w:hAnsi="Times New Roman" w:eastAsia="仿宋_GB2312" w:cs="Times New Roman"/>
          <w:b w:val="0"/>
          <w:snapToGrid w:val="0"/>
          <w:color w:val="auto"/>
          <w:kern w:val="0"/>
          <w:sz w:val="32"/>
          <w:szCs w:val="32"/>
          <w:lang w:val="en-US" w:eastAsia="zh-CN" w:bidi="ar-SA"/>
        </w:rPr>
        <w:t>对授权范围内的公共数据资源进行开发治理，</w:t>
      </w:r>
      <w:r>
        <w:rPr>
          <w:rFonts w:hint="default" w:ascii="Times New Roman" w:hAnsi="Times New Roman" w:eastAsia="仿宋_GB2312" w:cs="Times New Roman"/>
          <w:b w:val="0"/>
          <w:bCs w:val="0"/>
          <w:sz w:val="32"/>
          <w:szCs w:val="32"/>
          <w:lang w:val="en-US" w:eastAsia="zh-CN"/>
        </w:rPr>
        <w:t>建立公共数据产品和服务能力清单，披露公共数据资源使用情况，接受社会监督</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依法依规在授权范围内开展业务</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根据实际需求可在安徽省公共数据运营平台上配套建设用于公共数据资源开发的技术支撑工具和运营管理工具</w:t>
      </w:r>
      <w:r>
        <w:rPr>
          <w:rFonts w:hint="default" w:ascii="Times New Roman" w:hAnsi="Times New Roman" w:eastAsia="仿宋_GB2312" w:cs="Times New Roman"/>
          <w:b w:val="0"/>
          <w:bCs w:val="0"/>
          <w:sz w:val="32"/>
          <w:szCs w:val="32"/>
          <w:lang w:val="en-US" w:eastAsia="zh-CN"/>
        </w:rPr>
        <w:t>等。</w:t>
      </w:r>
    </w:p>
    <w:p w14:paraId="444EEA9F">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60" w:lineRule="exact"/>
        <w:ind w:left="0" w:leftChars="0" w:right="0" w:rightChars="0" w:firstLine="643" w:firstLineChars="0"/>
        <w:jc w:val="both"/>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（二）</w:t>
      </w:r>
      <w:r>
        <w:rPr>
          <w:rFonts w:hint="default" w:ascii="Times New Roman" w:hAnsi="Times New Roman" w:eastAsia="楷体_GB2312" w:cs="Times New Roman"/>
          <w:b w:val="0"/>
          <w:bCs w:val="0"/>
          <w:kern w:val="2"/>
          <w:sz w:val="32"/>
          <w:szCs w:val="32"/>
          <w:lang w:val="en-US" w:eastAsia="zh-CN" w:bidi="ar-SA"/>
        </w:rPr>
        <w:t>强化监督评价。</w:t>
      </w:r>
    </w:p>
    <w:p w14:paraId="56079FAF">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560" w:lineRule="exact"/>
        <w:ind w:right="0" w:rightChars="0" w:firstLine="640" w:firstLineChars="200"/>
        <w:jc w:val="both"/>
        <w:rPr>
          <w:rFonts w:hint="default" w:ascii="Times New Roman" w:hAnsi="Times New Roman" w:eastAsia="仿宋_GB2312" w:cs="Times New Roman"/>
          <w:i w:val="0"/>
          <w:caps w:val="0"/>
          <w:color w:val="394351"/>
          <w:spacing w:val="0"/>
          <w:sz w:val="21"/>
          <w:szCs w:val="21"/>
          <w:lang w:eastAsia="zh-CN"/>
        </w:rPr>
      </w:pPr>
      <w:r>
        <w:rPr>
          <w:rFonts w:hint="default" w:ascii="Times New Roman" w:hAnsi="Times New Roman" w:eastAsia="仿宋_GB2312" w:cs="Times New Roman"/>
          <w:b w:val="0"/>
          <w:snapToGrid w:val="0"/>
          <w:color w:val="auto"/>
          <w:kern w:val="0"/>
          <w:sz w:val="32"/>
          <w:szCs w:val="32"/>
          <w:lang w:val="en-US" w:eastAsia="zh-CN" w:bidi="ar-SA"/>
        </w:rPr>
        <w:t>数据资源管理部门</w:t>
      </w:r>
      <w:r>
        <w:rPr>
          <w:rFonts w:hint="default" w:ascii="Times New Roman" w:hAnsi="Times New Roman" w:eastAsia="仿宋_GB2312" w:cs="Times New Roman"/>
          <w:b w:val="0"/>
          <w:snapToGrid w:val="0"/>
          <w:color w:val="auto"/>
          <w:kern w:val="0"/>
          <w:sz w:val="32"/>
          <w:szCs w:val="32"/>
          <w:lang w:val="en-US" w:eastAsia="en-US" w:bidi="ar-SA"/>
        </w:rPr>
        <w:t>协调解决工作推进过程中的重大问题</w:t>
      </w:r>
      <w:r>
        <w:rPr>
          <w:rFonts w:hint="default" w:ascii="Times New Roman" w:hAnsi="Times New Roman" w:eastAsia="仿宋_GB2312" w:cs="Times New Roman"/>
          <w:b w:val="0"/>
          <w:snapToGrid w:val="0"/>
          <w:color w:val="auto"/>
          <w:kern w:val="0"/>
          <w:sz w:val="32"/>
          <w:szCs w:val="32"/>
          <w:lang w:val="en-US" w:eastAsia="zh-CN" w:bidi="ar-SA"/>
        </w:rPr>
        <w:t>，建立公共数据资源贡献评价指标，对各部门供数情况进行评价，评价结果纳入政务信息化项目绩效评估，</w:t>
      </w:r>
      <w:r>
        <w:rPr>
          <w:rFonts w:hint="default" w:ascii="Times New Roman" w:hAnsi="Times New Roman" w:eastAsia="仿宋_GB2312" w:cs="Times New Roman"/>
          <w:b w:val="0"/>
          <w:snapToGrid w:val="0"/>
          <w:color w:val="auto"/>
          <w:kern w:val="0"/>
          <w:sz w:val="32"/>
          <w:szCs w:val="32"/>
          <w:lang w:val="en-US" w:eastAsia="en-US" w:bidi="ar-SA"/>
        </w:rPr>
        <w:t>并作为下一年度政府信息化项目建设及运维资金预算安排的重要依据</w:t>
      </w:r>
      <w:r>
        <w:rPr>
          <w:rFonts w:hint="default" w:ascii="Times New Roman" w:hAnsi="Times New Roman" w:eastAsia="仿宋_GB2312" w:cs="Times New Roman"/>
          <w:b w:val="0"/>
          <w:bCs w:val="0"/>
          <w:sz w:val="32"/>
          <w:szCs w:val="32"/>
          <w:lang w:val="en-US" w:eastAsia="zh-CN"/>
        </w:rPr>
        <w:t>。</w:t>
      </w:r>
    </w:p>
    <w:p w14:paraId="7F5CB857">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afterLines="0" w:line="560" w:lineRule="exact"/>
        <w:ind w:left="0" w:leftChars="0" w:firstLine="643" w:firstLineChars="0"/>
        <w:textAlignment w:val="baseline"/>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（三）</w:t>
      </w:r>
      <w:r>
        <w:rPr>
          <w:rFonts w:hint="default" w:ascii="Times New Roman" w:hAnsi="Times New Roman" w:eastAsia="楷体_GB2312" w:cs="Times New Roman"/>
          <w:b w:val="0"/>
          <w:bCs w:val="0"/>
          <w:kern w:val="2"/>
          <w:sz w:val="32"/>
          <w:szCs w:val="32"/>
          <w:lang w:val="en-US" w:eastAsia="zh-CN" w:bidi="ar-SA"/>
        </w:rPr>
        <w:t>鼓励干事创新。</w:t>
      </w:r>
    </w:p>
    <w:p w14:paraId="76E36CE5">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afterLines="0" w:line="560" w:lineRule="exact"/>
        <w:ind w:firstLine="640" w:firstLineChars="200"/>
        <w:textAlignment w:val="baseline"/>
        <w:rPr>
          <w:rFonts w:hint="default" w:ascii="Times New Roman" w:hAnsi="Times New Roman" w:eastAsia="仿宋_GB2312" w:cs="Times New Roman"/>
          <w:b w:val="0"/>
          <w:snapToGrid w:val="0"/>
          <w:color w:val="auto"/>
          <w:kern w:val="0"/>
          <w:sz w:val="32"/>
          <w:szCs w:val="32"/>
          <w:lang w:val="en-US" w:eastAsia="zh-CN" w:bidi="ar-SA"/>
        </w:rPr>
      </w:pPr>
      <w:r>
        <w:rPr>
          <w:rFonts w:hint="default" w:ascii="Times New Roman" w:hAnsi="Times New Roman" w:eastAsia="仿宋_GB2312" w:cs="Times New Roman"/>
          <w:b w:val="0"/>
          <w:snapToGrid w:val="0"/>
          <w:color w:val="auto"/>
          <w:kern w:val="0"/>
          <w:sz w:val="32"/>
          <w:szCs w:val="32"/>
          <w:lang w:val="en-US" w:eastAsia="zh-CN" w:bidi="ar-SA"/>
        </w:rPr>
        <w:t>营造鼓励创新、包容创新的干事创业氛围，</w:t>
      </w:r>
      <w:r>
        <w:rPr>
          <w:rFonts w:hint="default" w:ascii="Times New Roman" w:hAnsi="Times New Roman" w:eastAsia="仿宋_GB2312" w:cs="Times New Roman"/>
          <w:b w:val="0"/>
          <w:snapToGrid w:val="0"/>
          <w:color w:val="auto"/>
          <w:kern w:val="0"/>
          <w:sz w:val="32"/>
          <w:szCs w:val="32"/>
          <w:lang w:val="en-US" w:eastAsia="zh-CN" w:bidi="ar-SA"/>
        </w:rPr>
        <w:t>单位和个人在</w:t>
      </w:r>
      <w:r>
        <w:rPr>
          <w:rFonts w:hint="default" w:ascii="Times New Roman" w:hAnsi="Times New Roman" w:eastAsia="仿宋_GB2312" w:cs="Times New Roman"/>
          <w:b w:val="0"/>
          <w:snapToGrid w:val="0"/>
          <w:color w:val="auto"/>
          <w:kern w:val="0"/>
          <w:sz w:val="32"/>
          <w:szCs w:val="32"/>
          <w:lang w:val="en-US" w:eastAsia="zh-CN" w:bidi="ar-SA"/>
        </w:rPr>
        <w:t>公共数据资源授权运营过程中出现偏差失误或者未能实现预期目标，但是符合国家确定的改革方向，决策程序符合法律、法规规定，未牟取私利或者未恶意串通损害国家利益、公共利益的，应当免予追责，不作负面评</w:t>
      </w:r>
      <w:r>
        <w:rPr>
          <w:rFonts w:hint="default" w:ascii="Times New Roman" w:hAnsi="Times New Roman" w:eastAsia="仿宋_GB2312" w:cs="Times New Roman"/>
          <w:b w:val="0"/>
          <w:snapToGrid w:val="0"/>
          <w:color w:val="auto"/>
          <w:kern w:val="0"/>
          <w:sz w:val="32"/>
          <w:szCs w:val="32"/>
          <w:lang w:val="en-US" w:eastAsia="zh-CN" w:bidi="ar-SA"/>
        </w:rPr>
        <w:t>价。</w:t>
      </w:r>
    </w:p>
    <w:p w14:paraId="629183DA">
      <w:pPr>
        <w:pStyle w:val="5"/>
        <w:ind w:left="0" w:leftChars="0" w:firstLine="0" w:firstLineChars="0"/>
        <w:rPr>
          <w:rFonts w:hint="default" w:ascii="Times New Roman" w:hAnsi="Times New Roman" w:cs="Times New Roman"/>
          <w:lang w:val="en-US" w:eastAsia="zh-CN"/>
        </w:rPr>
      </w:pPr>
    </w:p>
    <w:p w14:paraId="1AE86546">
      <w:pPr>
        <w:rPr>
          <w:rFonts w:hint="default" w:ascii="Times New Roman" w:hAnsi="Times New Roman" w:cs="Times New Roman"/>
          <w:lang w:val="en-US" w:eastAsia="zh-CN"/>
        </w:rPr>
      </w:pPr>
    </w:p>
    <w:p w14:paraId="01098846">
      <w:pPr>
        <w:pStyle w:val="2"/>
        <w:rPr>
          <w:rFonts w:hint="default" w:ascii="Times New Roman" w:hAnsi="Times New Roman" w:cs="Times New Roman"/>
          <w:lang w:val="en-US" w:eastAsia="zh-CN"/>
        </w:rPr>
      </w:pPr>
    </w:p>
    <w:p w14:paraId="3F9C1FEC">
      <w:pPr>
        <w:rPr>
          <w:rFonts w:hint="default" w:ascii="Times New Roman" w:hAnsi="Times New Roman" w:cs="Times New Roman"/>
          <w:lang w:val="en-US" w:eastAsia="zh-CN"/>
        </w:rPr>
      </w:pPr>
    </w:p>
    <w:p w14:paraId="46BFA090">
      <w:pPr>
        <w:rPr>
          <w:rFonts w:hint="default" w:ascii="Times New Roman" w:hAnsi="Times New Roman" w:cs="Times New Roman"/>
          <w:lang w:val="en-US" w:eastAsia="zh-CN"/>
        </w:rPr>
      </w:pPr>
    </w:p>
    <w:p w14:paraId="41962069">
      <w:pPr>
        <w:pStyle w:val="2"/>
        <w:rPr>
          <w:rFonts w:hint="default" w:ascii="Times New Roman" w:hAnsi="Times New Roman" w:cs="Times New Roman"/>
          <w:lang w:val="en-US" w:eastAsia="zh-CN"/>
        </w:rPr>
      </w:pPr>
    </w:p>
    <w:p w14:paraId="64F8D630">
      <w:pPr>
        <w:rPr>
          <w:rFonts w:hint="default" w:ascii="Times New Roman" w:hAnsi="Times New Roman" w:cs="Times New Roman"/>
          <w:lang w:val="en-US" w:eastAsia="zh-CN"/>
        </w:rPr>
      </w:pPr>
    </w:p>
    <w:p w14:paraId="6E93B528">
      <w:pPr>
        <w:pStyle w:val="2"/>
        <w:rPr>
          <w:rFonts w:hint="default" w:ascii="Times New Roman" w:hAnsi="Times New Roman" w:cs="Times New Roman"/>
          <w:lang w:val="en-US" w:eastAsia="zh-CN"/>
        </w:rPr>
      </w:pPr>
    </w:p>
    <w:p w14:paraId="62FD1328">
      <w:pPr>
        <w:rPr>
          <w:rFonts w:hint="default" w:ascii="Times New Roman" w:hAnsi="Times New Roman" w:cs="Times New Roman"/>
          <w:lang w:val="en-US" w:eastAsia="zh-CN"/>
        </w:rPr>
      </w:pPr>
    </w:p>
    <w:p w14:paraId="1D44B63E">
      <w:pPr>
        <w:pStyle w:val="2"/>
        <w:rPr>
          <w:rFonts w:hint="default" w:ascii="Times New Roman" w:hAnsi="Times New Roman" w:cs="Times New Roman"/>
          <w:lang w:val="en-US" w:eastAsia="zh-CN"/>
        </w:rPr>
      </w:pPr>
    </w:p>
    <w:p w14:paraId="1CCFB4B9">
      <w:pPr>
        <w:pStyle w:val="2"/>
        <w:rPr>
          <w:rFonts w:hint="default" w:ascii="Times New Roman" w:hAnsi="Times New Roman" w:cs="Times New Roman"/>
          <w:lang w:val="en-US" w:eastAsia="zh-CN"/>
        </w:rPr>
      </w:pPr>
    </w:p>
    <w:p w14:paraId="0D43DC15">
      <w:pPr>
        <w:rPr>
          <w:rFonts w:hint="default" w:ascii="Times New Roman" w:hAnsi="Times New Roman" w:cs="Times New Roman"/>
          <w:lang w:val="en-US" w:eastAsia="zh-CN"/>
        </w:rPr>
      </w:pPr>
    </w:p>
    <w:p w14:paraId="0766ADC5">
      <w:pPr>
        <w:pStyle w:val="2"/>
        <w:rPr>
          <w:rFonts w:hint="default" w:ascii="Times New Roman" w:hAnsi="Times New Roman" w:cs="Times New Roman"/>
          <w:lang w:val="en-US" w:eastAsia="zh-CN"/>
        </w:rPr>
      </w:pPr>
    </w:p>
    <w:p w14:paraId="4F636588">
      <w:pPr>
        <w:rPr>
          <w:rFonts w:hint="default" w:ascii="Times New Roman" w:hAnsi="Times New Roman" w:cs="Times New Roman"/>
          <w:lang w:val="en-US" w:eastAsia="zh-CN"/>
        </w:rPr>
      </w:pPr>
    </w:p>
    <w:p w14:paraId="2EF547A9">
      <w:pPr>
        <w:rPr>
          <w:rFonts w:hint="default" w:ascii="Times New Roman" w:hAnsi="Times New Roman" w:cs="Times New Roman"/>
          <w:lang w:val="en-US" w:eastAsia="zh-CN"/>
        </w:rPr>
      </w:pPr>
    </w:p>
    <w:p w14:paraId="390E4CEF">
      <w:pPr>
        <w:pStyle w:val="2"/>
        <w:rPr>
          <w:rFonts w:hint="default" w:ascii="Times New Roman" w:hAnsi="Times New Roman" w:cs="Times New Roman"/>
          <w:lang w:val="en-US" w:eastAsia="zh-CN"/>
        </w:rPr>
      </w:pPr>
    </w:p>
    <w:p w14:paraId="6258AD72">
      <w:pPr>
        <w:pStyle w:val="2"/>
        <w:rPr>
          <w:rFonts w:hint="default" w:ascii="Times New Roman" w:hAnsi="Times New Roman" w:cs="Times New Roman"/>
          <w:lang w:val="en-US" w:eastAsia="zh-CN"/>
        </w:rPr>
      </w:pPr>
    </w:p>
    <w:p w14:paraId="36004441">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黑体" w:cs="Times New Roman"/>
          <w:b w:val="0"/>
          <w:bCs w:val="0"/>
          <w:sz w:val="32"/>
          <w:szCs w:val="32"/>
          <w:lang w:val="en-US" w:eastAsia="zh-CN"/>
        </w:rPr>
      </w:pPr>
    </w:p>
    <w:p w14:paraId="2BDF727B">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黑体" w:cs="Times New Roman"/>
          <w:b w:val="0"/>
          <w:bCs w:val="0"/>
          <w:sz w:val="32"/>
          <w:szCs w:val="32"/>
          <w:lang w:val="en-US" w:eastAsia="zh-CN"/>
        </w:rPr>
      </w:pPr>
    </w:p>
    <w:p w14:paraId="2F2C32F1">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14:paraId="18ACD9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p>
    <w:p w14:paraId="46C97A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val="0"/>
          <w:sz w:val="44"/>
          <w:szCs w:val="44"/>
          <w:lang w:val="en-US" w:eastAsia="zh-CN"/>
        </w:rPr>
        <w:t>公共数据资源授权运营实施流程</w:t>
      </w:r>
    </w:p>
    <w:p w14:paraId="41A0D4AA">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rPr>
          <w:rFonts w:hint="default" w:ascii="Times New Roman" w:hAnsi="Times New Roman" w:eastAsia="黑体" w:cs="Times New Roman"/>
          <w:b w:val="0"/>
          <w:bCs w:val="0"/>
          <w:sz w:val="32"/>
          <w:szCs w:val="32"/>
          <w:highlight w:val="none"/>
          <w:lang w:val="en-US" w:eastAsia="zh-CN"/>
        </w:rPr>
      </w:pPr>
    </w:p>
    <w:p w14:paraId="7F372A0B">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Chars="0" w:firstLine="640" w:firstLineChars="200"/>
        <w:jc w:val="both"/>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一、授权流程</w:t>
      </w:r>
    </w:p>
    <w:p w14:paraId="051BF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实施方案编制。</w:t>
      </w:r>
      <w:r>
        <w:rPr>
          <w:rFonts w:hint="default" w:ascii="Times New Roman" w:hAnsi="Times New Roman" w:eastAsia="仿宋_GB2312" w:cs="Times New Roman"/>
          <w:sz w:val="32"/>
          <w:szCs w:val="32"/>
          <w:lang w:val="en-US" w:eastAsia="zh-CN"/>
        </w:rPr>
        <w:t>数据资源管理部门会同有关行业部门确定公共数据资源授权运营范围，编制公共数据资源授权运营实施方案；</w:t>
      </w:r>
    </w:p>
    <w:p w14:paraId="3C8DA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遴选公告发布。</w:t>
      </w:r>
      <w:r>
        <w:rPr>
          <w:rFonts w:hint="default" w:ascii="Times New Roman" w:hAnsi="Times New Roman" w:eastAsia="仿宋_GB2312" w:cs="Times New Roman"/>
          <w:sz w:val="32"/>
          <w:szCs w:val="32"/>
          <w:lang w:val="en-US" w:eastAsia="zh-CN"/>
        </w:rPr>
        <w:t>数据资源管理部门发布公共数据授权运营机构遴选公告（包含授权方式、授权范围、申报条件、材料清单等）；</w:t>
      </w:r>
    </w:p>
    <w:p w14:paraId="1CA8EE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授权申请。</w:t>
      </w:r>
      <w:r>
        <w:rPr>
          <w:rFonts w:hint="default" w:ascii="Times New Roman" w:hAnsi="Times New Roman" w:eastAsia="仿宋_GB2312" w:cs="Times New Roman"/>
          <w:sz w:val="32"/>
          <w:szCs w:val="32"/>
          <w:lang w:val="en-US" w:eastAsia="zh-CN"/>
        </w:rPr>
        <w:t>法人组织（不含事业单位）按要求提交授权申请材料，数据资源管理部门完成资格初审后，组织专家遴选确定符合条件的运营机构并公示结果（公式期7个工作日）；</w:t>
      </w:r>
    </w:p>
    <w:p w14:paraId="5E6DCD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协议签订。</w:t>
      </w:r>
      <w:r>
        <w:rPr>
          <w:rFonts w:hint="default" w:ascii="Times New Roman" w:hAnsi="Times New Roman" w:eastAsia="仿宋_GB2312" w:cs="Times New Roman"/>
          <w:sz w:val="32"/>
          <w:szCs w:val="32"/>
          <w:lang w:val="en-US" w:eastAsia="zh-CN"/>
        </w:rPr>
        <w:t>数据资源管理部门与运营机构签订公共数据授权运营协议（包含授权运营数据资源目录、授权运营期限、产品和服务清单、资产权属、收益分配机制、权利与义务等）。</w:t>
      </w:r>
    </w:p>
    <w:p w14:paraId="3AAADA01">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黑体" w:cs="Times New Roman"/>
          <w:b w:val="0"/>
          <w:bCs w:val="0"/>
          <w:snapToGrid w:val="0"/>
          <w:color w:val="auto"/>
          <w:kern w:val="0"/>
          <w:sz w:val="32"/>
          <w:szCs w:val="32"/>
          <w:lang w:val="en-US" w:eastAsia="zh-CN" w:bidi="ar-SA"/>
        </w:rPr>
      </w:pPr>
      <w:r>
        <w:rPr>
          <w:rFonts w:hint="default" w:ascii="Times New Roman" w:hAnsi="Times New Roman" w:eastAsia="黑体" w:cs="Times New Roman"/>
          <w:b w:val="0"/>
          <w:bCs w:val="0"/>
          <w:snapToGrid w:val="0"/>
          <w:color w:val="auto"/>
          <w:kern w:val="0"/>
          <w:sz w:val="32"/>
          <w:szCs w:val="32"/>
          <w:lang w:val="en-US" w:eastAsia="zh-CN" w:bidi="ar-SA"/>
        </w:rPr>
        <w:t>二、运营流程</w:t>
      </w:r>
    </w:p>
    <w:p w14:paraId="56115B59">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highlight w:val="none"/>
          <w:lang w:val="en-US" w:eastAsia="zh-CN" w:bidi="ar-SA"/>
        </w:rPr>
        <w:t>1</w:t>
      </w:r>
      <w:r>
        <w:rPr>
          <w:rFonts w:hint="eastAsia" w:ascii="Times New Roman" w:hAnsi="Times New Roman" w:eastAsia="仿宋_GB2312" w:cs="Times New Roman"/>
          <w:b/>
          <w:bCs/>
          <w:kern w:val="2"/>
          <w:sz w:val="32"/>
          <w:szCs w:val="32"/>
          <w:highlight w:val="none"/>
          <w:lang w:val="en-US" w:eastAsia="zh-CN" w:bidi="ar-SA"/>
        </w:rPr>
        <w:t>.</w:t>
      </w:r>
      <w:r>
        <w:rPr>
          <w:rFonts w:hint="default" w:ascii="Times New Roman" w:hAnsi="Times New Roman" w:eastAsia="仿宋_GB2312" w:cs="Times New Roman"/>
          <w:b/>
          <w:bCs/>
          <w:kern w:val="2"/>
          <w:sz w:val="32"/>
          <w:szCs w:val="32"/>
          <w:highlight w:val="none"/>
          <w:lang w:val="en-US" w:eastAsia="zh-CN" w:bidi="ar-SA"/>
        </w:rPr>
        <w:t>合伙人招募公告发布。</w:t>
      </w:r>
      <w:r>
        <w:rPr>
          <w:rFonts w:hint="default" w:ascii="Times New Roman" w:hAnsi="Times New Roman" w:eastAsia="仿宋_GB2312" w:cs="Times New Roman"/>
          <w:sz w:val="32"/>
          <w:szCs w:val="32"/>
          <w:lang w:val="en-US" w:eastAsia="zh-CN"/>
        </w:rPr>
        <w:t>运营机构独立或会同相关行业主管部门分行业领域依法发布合伙人招募公告（包</w:t>
      </w:r>
      <w:r>
        <w:rPr>
          <w:rFonts w:hint="default" w:ascii="Times New Roman" w:hAnsi="Times New Roman" w:eastAsia="仿宋_GB2312" w:cs="Times New Roman"/>
          <w:sz w:val="32"/>
          <w:szCs w:val="32"/>
          <w:lang w:val="en-US" w:eastAsia="zh-CN"/>
        </w:rPr>
        <w:t>含申报条件、</w:t>
      </w:r>
      <w:r>
        <w:rPr>
          <w:rFonts w:hint="default" w:ascii="Times New Roman" w:hAnsi="Times New Roman" w:eastAsia="仿宋_GB2312" w:cs="Times New Roman"/>
          <w:sz w:val="32"/>
          <w:szCs w:val="32"/>
          <w:lang w:val="en-US" w:eastAsia="zh-CN"/>
        </w:rPr>
        <w:t>合作模式等）；</w:t>
      </w:r>
    </w:p>
    <w:p w14:paraId="3B93D9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highlight w:val="none"/>
          <w:lang w:val="en-US" w:eastAsia="zh-CN" w:bidi="ar-SA"/>
        </w:rPr>
        <w:t>2</w:t>
      </w:r>
      <w:r>
        <w:rPr>
          <w:rFonts w:hint="eastAsia" w:ascii="Times New Roman" w:hAnsi="Times New Roman" w:eastAsia="仿宋_GB2312" w:cs="Times New Roman"/>
          <w:b/>
          <w:bCs/>
          <w:kern w:val="2"/>
          <w:sz w:val="32"/>
          <w:szCs w:val="32"/>
          <w:highlight w:val="none"/>
          <w:lang w:val="en-US" w:eastAsia="zh-CN" w:bidi="ar-SA"/>
        </w:rPr>
        <w:t>.</w:t>
      </w:r>
      <w:r>
        <w:rPr>
          <w:rFonts w:hint="default" w:ascii="Times New Roman" w:hAnsi="Times New Roman" w:eastAsia="仿宋_GB2312" w:cs="Times New Roman"/>
          <w:b/>
          <w:bCs/>
          <w:kern w:val="2"/>
          <w:sz w:val="32"/>
          <w:szCs w:val="32"/>
          <w:highlight w:val="none"/>
          <w:lang w:val="en-US" w:eastAsia="zh-CN" w:bidi="ar-SA"/>
        </w:rPr>
        <w:t>合伙人申请。</w:t>
      </w:r>
      <w:r>
        <w:rPr>
          <w:rFonts w:hint="default" w:ascii="Times New Roman" w:hAnsi="Times New Roman" w:eastAsia="仿宋_GB2312" w:cs="Times New Roman"/>
          <w:sz w:val="32"/>
          <w:szCs w:val="32"/>
          <w:lang w:val="en-US" w:eastAsia="zh-CN"/>
        </w:rPr>
        <w:t>合伙人提出合作申请，运营机构按程序择优选择合伙人；</w:t>
      </w:r>
    </w:p>
    <w:p w14:paraId="42B3B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highlight w:val="none"/>
          <w:lang w:val="en-US" w:eastAsia="zh-CN" w:bidi="ar-SA"/>
        </w:rPr>
        <w:t>3</w:t>
      </w:r>
      <w:r>
        <w:rPr>
          <w:rFonts w:hint="eastAsia" w:ascii="Times New Roman" w:hAnsi="Times New Roman" w:eastAsia="仿宋_GB2312" w:cs="Times New Roman"/>
          <w:b/>
          <w:bCs/>
          <w:kern w:val="2"/>
          <w:sz w:val="32"/>
          <w:szCs w:val="32"/>
          <w:highlight w:val="none"/>
          <w:lang w:val="en-US" w:eastAsia="zh-CN" w:bidi="ar-SA"/>
        </w:rPr>
        <w:t>.</w:t>
      </w:r>
      <w:r>
        <w:rPr>
          <w:rFonts w:hint="default" w:ascii="Times New Roman" w:hAnsi="Times New Roman" w:eastAsia="仿宋_GB2312" w:cs="Times New Roman"/>
          <w:b/>
          <w:bCs/>
          <w:kern w:val="2"/>
          <w:sz w:val="32"/>
          <w:szCs w:val="32"/>
          <w:highlight w:val="none"/>
          <w:lang w:val="en-US" w:eastAsia="zh-CN" w:bidi="ar-SA"/>
        </w:rPr>
        <w:t>协议签订。</w:t>
      </w:r>
      <w:r>
        <w:rPr>
          <w:rFonts w:hint="default" w:ascii="Times New Roman" w:hAnsi="Times New Roman" w:eastAsia="仿宋_GB2312" w:cs="Times New Roman"/>
          <w:sz w:val="32"/>
          <w:szCs w:val="32"/>
          <w:lang w:val="en-US" w:eastAsia="zh-CN"/>
        </w:rPr>
        <w:t>运营机构与合伙人签订合作协议，报数据资源管理部门备案；</w:t>
      </w:r>
    </w:p>
    <w:p w14:paraId="6F9480CC">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4</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数据质量管理。</w:t>
      </w:r>
      <w:r>
        <w:rPr>
          <w:rFonts w:hint="default" w:ascii="Times New Roman" w:hAnsi="Times New Roman" w:eastAsia="仿宋_GB2312" w:cs="Times New Roman"/>
          <w:b w:val="0"/>
          <w:snapToGrid w:val="0"/>
          <w:color w:val="auto"/>
          <w:kern w:val="0"/>
          <w:sz w:val="32"/>
          <w:szCs w:val="32"/>
          <w:lang w:val="en-US" w:eastAsia="zh-CN" w:bidi="ar-SA"/>
        </w:rPr>
        <w:t>运营机构及时报告不满足场景应用需求的数据质量问题，由数据资源管理部门会同数据提供部门根据数据治理需求进行处理。</w:t>
      </w:r>
    </w:p>
    <w:p w14:paraId="14371716">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黑体" w:cs="Times New Roman"/>
          <w:b w:val="0"/>
          <w:bCs w:val="0"/>
          <w:snapToGrid w:val="0"/>
          <w:color w:val="auto"/>
          <w:kern w:val="0"/>
          <w:sz w:val="32"/>
          <w:szCs w:val="32"/>
          <w:lang w:val="en-US" w:eastAsia="zh-CN" w:bidi="ar-SA"/>
        </w:rPr>
      </w:pPr>
      <w:r>
        <w:rPr>
          <w:rFonts w:hint="default" w:ascii="Times New Roman" w:hAnsi="Times New Roman" w:eastAsia="黑体" w:cs="Times New Roman"/>
          <w:b w:val="0"/>
          <w:bCs w:val="0"/>
          <w:snapToGrid w:val="0"/>
          <w:color w:val="auto"/>
          <w:kern w:val="0"/>
          <w:sz w:val="32"/>
          <w:szCs w:val="32"/>
          <w:lang w:val="en-US" w:eastAsia="zh-CN" w:bidi="ar-SA"/>
        </w:rPr>
        <w:t>三、开发流程</w:t>
      </w:r>
    </w:p>
    <w:p w14:paraId="72794D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平台入驻及退出。</w:t>
      </w:r>
      <w:r>
        <w:rPr>
          <w:rFonts w:hint="default" w:ascii="Times New Roman" w:hAnsi="Times New Roman" w:eastAsia="仿宋_GB2312" w:cs="Times New Roman"/>
          <w:b w:val="0"/>
          <w:bCs w:val="0"/>
          <w:snapToGrid w:val="0"/>
          <w:color w:val="auto"/>
          <w:kern w:val="0"/>
          <w:sz w:val="32"/>
          <w:szCs w:val="32"/>
          <w:lang w:val="en-US" w:eastAsia="zh-CN" w:bidi="ar-SA"/>
        </w:rPr>
        <w:t>运营机构按程序授予合伙人入驻及终止合伙人的运营平台使用权限，</w:t>
      </w:r>
      <w:r>
        <w:rPr>
          <w:rFonts w:hint="default" w:ascii="Times New Roman" w:hAnsi="Times New Roman" w:eastAsia="仿宋_GB2312" w:cs="Times New Roman"/>
          <w:sz w:val="32"/>
          <w:szCs w:val="32"/>
          <w:lang w:val="en-US" w:eastAsia="zh-CN"/>
        </w:rPr>
        <w:t>并报数据资源管理部门备案；</w:t>
      </w:r>
    </w:p>
    <w:p w14:paraId="49A08309">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场景方案编制。</w:t>
      </w:r>
      <w:r>
        <w:rPr>
          <w:rFonts w:hint="default" w:ascii="Times New Roman" w:hAnsi="Times New Roman" w:eastAsia="仿宋_GB2312" w:cs="Times New Roman"/>
          <w:b w:val="0"/>
          <w:bCs w:val="0"/>
          <w:snapToGrid w:val="0"/>
          <w:color w:val="auto"/>
          <w:kern w:val="0"/>
          <w:sz w:val="32"/>
          <w:szCs w:val="32"/>
          <w:lang w:val="en-US" w:eastAsia="zh-CN" w:bidi="ar-SA"/>
        </w:rPr>
        <w:t>运营机构组织编制场景建设方案（包含场景建设目标、公共数据资源需求、数据产品和服务涉及、数据加工处理方法、开发团队、安全保障和效益分析等）；</w:t>
      </w:r>
    </w:p>
    <w:p w14:paraId="050E31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方案评审</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snapToGrid w:val="0"/>
          <w:color w:val="auto"/>
          <w:kern w:val="0"/>
          <w:sz w:val="32"/>
          <w:szCs w:val="32"/>
          <w:lang w:val="en-US" w:eastAsia="zh-CN" w:bidi="ar-SA"/>
        </w:rPr>
        <w:t>数据资源管理部门组织专家和行业主管部门进行评审论证；</w:t>
      </w:r>
    </w:p>
    <w:p w14:paraId="01D4827B">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产品开发</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snapToGrid w:val="0"/>
          <w:color w:val="auto"/>
          <w:kern w:val="0"/>
          <w:sz w:val="32"/>
          <w:szCs w:val="32"/>
          <w:lang w:val="en-US" w:eastAsia="zh-CN" w:bidi="ar-SA"/>
        </w:rPr>
        <w:t>运营机构按照审核通过的场景建设方案组织产品开发；</w:t>
      </w:r>
    </w:p>
    <w:p w14:paraId="2EE270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产品审查</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snapToGrid w:val="0"/>
          <w:color w:val="auto"/>
          <w:kern w:val="0"/>
          <w:sz w:val="32"/>
          <w:szCs w:val="32"/>
          <w:lang w:val="en-US" w:eastAsia="zh-CN" w:bidi="ar-SA"/>
        </w:rPr>
        <w:t>运营机构对数据产品或服务的数据安全进行审查，形成安全自查报告</w:t>
      </w:r>
      <w:r>
        <w:rPr>
          <w:rFonts w:hint="default" w:ascii="Times New Roman" w:hAnsi="Times New Roman" w:eastAsia="仿宋_GB2312" w:cs="Times New Roman"/>
          <w:sz w:val="32"/>
          <w:szCs w:val="32"/>
          <w:lang w:val="en-US" w:eastAsia="zh-CN"/>
        </w:rPr>
        <w:t>报数据资源管理部门备案</w:t>
      </w:r>
      <w:r>
        <w:rPr>
          <w:rFonts w:hint="default" w:ascii="Times New Roman" w:hAnsi="Times New Roman" w:eastAsia="仿宋_GB2312" w:cs="Times New Roman"/>
          <w:b w:val="0"/>
          <w:bCs w:val="0"/>
          <w:snapToGrid w:val="0"/>
          <w:color w:val="auto"/>
          <w:kern w:val="0"/>
          <w:sz w:val="32"/>
          <w:szCs w:val="32"/>
          <w:lang w:val="en-US" w:eastAsia="zh-CN" w:bidi="ar-SA"/>
        </w:rPr>
        <w:t>。</w:t>
      </w:r>
    </w:p>
    <w:p w14:paraId="6E70E9D6">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val="0"/>
          <w:snapToGrid w:val="0"/>
          <w:color w:val="auto"/>
          <w:kern w:val="0"/>
          <w:sz w:val="32"/>
          <w:szCs w:val="32"/>
          <w:lang w:val="en-US" w:eastAsia="zh-CN" w:bidi="ar-SA"/>
        </w:rPr>
      </w:pPr>
      <w:r>
        <w:rPr>
          <w:rFonts w:hint="default" w:ascii="Times New Roman" w:hAnsi="Times New Roman" w:eastAsia="仿宋_GB2312" w:cs="Times New Roman"/>
          <w:b/>
          <w:bCs/>
          <w:kern w:val="2"/>
          <w:sz w:val="32"/>
          <w:szCs w:val="32"/>
          <w:lang w:val="en-US" w:eastAsia="zh-CN" w:bidi="ar-SA"/>
        </w:rPr>
        <w:t>6</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登记备案</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snapToGrid w:val="0"/>
          <w:color w:val="auto"/>
          <w:kern w:val="0"/>
          <w:sz w:val="32"/>
          <w:szCs w:val="32"/>
          <w:lang w:val="en-US" w:eastAsia="zh-CN" w:bidi="ar-SA"/>
        </w:rPr>
        <w:t>运营机构向数据资源管理部门完成登记备案（包含数据产品和服务的定价依据、应用场景、使用范围及方式等）；</w:t>
      </w:r>
    </w:p>
    <w:p w14:paraId="5E502B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kern w:val="2"/>
          <w:sz w:val="32"/>
          <w:szCs w:val="32"/>
          <w:lang w:val="en-US" w:eastAsia="zh-CN" w:bidi="ar-SA"/>
        </w:rPr>
        <w:t>7</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推广应用</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snapToGrid w:val="0"/>
          <w:color w:val="auto"/>
          <w:kern w:val="0"/>
          <w:sz w:val="32"/>
          <w:szCs w:val="32"/>
          <w:lang w:val="en-US" w:eastAsia="zh-CN" w:bidi="ar-SA"/>
        </w:rPr>
        <w:t>运营机构及其合伙人与使用单位签订数据产品或服务使用协议（包含交付方式、计价方式、使用场景、使用条件和使用期限、数据安全责任等）。</w:t>
      </w:r>
    </w:p>
    <w:p w14:paraId="002708C4">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四、评估流程</w:t>
      </w:r>
    </w:p>
    <w:p w14:paraId="2DDE587E">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授权运营评价</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数据资源管理部门会同有关部门按年度对运营机构公共数据资源授权运营情况进行评估。（包含安全评估、绩效评价、场景效益、公益服务情况等）；</w:t>
      </w:r>
    </w:p>
    <w:p w14:paraId="2F3080C9">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highlight w:val="none"/>
          <w:lang w:val="en-US" w:eastAsia="zh-CN"/>
        </w:rPr>
        <w:t>结果反馈及限期整改</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lang w:val="en-US" w:eastAsia="zh-CN"/>
        </w:rPr>
        <w:t>数据资源管理部门向运营机构反馈评估结果。评估结果为“未通过”，则数据资源管理部门按照有关规定终止运营机构运营活动；评估结果为“限期整改”，运营机构制定整改方案，30日内完成整改报数据资源管理部门再次评估。</w:t>
      </w:r>
    </w:p>
    <w:p w14:paraId="44F1F45C">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4A105A42">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7470A9E4">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4B62E283">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62D4A719">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76FB6EC1">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7BBA0FFA">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46D5FAFC">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0460D24B">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013C39E6">
      <w:pPr>
        <w:rPr>
          <w:rFonts w:hint="default" w:ascii="Times New Roman" w:hAnsi="Times New Roman" w:eastAsia="仿宋_GB2312" w:cs="Times New Roman"/>
          <w:b w:val="0"/>
          <w:bCs w:val="0"/>
          <w:sz w:val="32"/>
          <w:szCs w:val="32"/>
          <w:lang w:val="en-US" w:eastAsia="zh-CN"/>
        </w:rPr>
      </w:pPr>
    </w:p>
    <w:p w14:paraId="1F49ACF1">
      <w:pPr>
        <w:pStyle w:val="5"/>
        <w:rPr>
          <w:rFonts w:hint="default" w:ascii="Times New Roman" w:hAnsi="Times New Roman" w:eastAsia="仿宋_GB2312" w:cs="Times New Roman"/>
          <w:b w:val="0"/>
          <w:bCs w:val="0"/>
          <w:sz w:val="32"/>
          <w:szCs w:val="32"/>
          <w:lang w:val="en-US" w:eastAsia="zh-CN"/>
        </w:rPr>
      </w:pPr>
    </w:p>
    <w:p w14:paraId="44FA6196">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仿宋_GB2312" w:cs="Times New Roman"/>
          <w:b w:val="0"/>
          <w:bCs w:val="0"/>
          <w:sz w:val="32"/>
          <w:szCs w:val="32"/>
          <w:lang w:val="en-US" w:eastAsia="zh-CN"/>
        </w:rPr>
      </w:pPr>
    </w:p>
    <w:p w14:paraId="203EB99E">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黑体" w:cs="Times New Roman"/>
          <w:b w:val="0"/>
          <w:bCs w:val="0"/>
          <w:sz w:val="32"/>
          <w:szCs w:val="32"/>
          <w:lang w:val="en-US" w:eastAsia="zh-CN"/>
        </w:rPr>
      </w:pPr>
    </w:p>
    <w:p w14:paraId="4945E26E">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黑体" w:cs="Times New Roman"/>
          <w:b w:val="0"/>
          <w:bCs w:val="0"/>
          <w:sz w:val="32"/>
          <w:szCs w:val="32"/>
          <w:lang w:val="en-US" w:eastAsia="zh-CN"/>
        </w:rPr>
      </w:pPr>
    </w:p>
    <w:p w14:paraId="03A8A142">
      <w:pPr>
        <w:pStyle w:val="5"/>
        <w:keepNext w:val="0"/>
        <w:keepLines w:val="0"/>
        <w:pageBreakBefore w:val="0"/>
        <w:widowControl w:val="0"/>
        <w:wordWrap/>
        <w:overflowPunct/>
        <w:topLinePunct w:val="0"/>
        <w:bidi w:val="0"/>
        <w:spacing w:after="0" w:afterLines="0" w:line="560" w:lineRule="exact"/>
        <w:ind w:left="0" w:leftChars="0" w:firstLine="0" w:firstLineChars="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附件2：</w:t>
      </w:r>
    </w:p>
    <w:p w14:paraId="6F58E431">
      <w:pPr>
        <w:pStyle w:val="5"/>
        <w:keepNext w:val="0"/>
        <w:keepLines w:val="0"/>
        <w:pageBreakBefore w:val="0"/>
        <w:widowControl w:val="0"/>
        <w:wordWrap/>
        <w:overflowPunct/>
        <w:topLinePunct w:val="0"/>
        <w:bidi w:val="0"/>
        <w:spacing w:after="0" w:afterLines="0" w:line="560" w:lineRule="exact"/>
        <w:ind w:left="0" w:leftChars="0" w:firstLine="0" w:firstLineChars="0"/>
        <w:jc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方正小标宋简体" w:cs="Times New Roman"/>
          <w:sz w:val="44"/>
          <w:szCs w:val="44"/>
          <w:lang w:val="en-US" w:eastAsia="zh-CN"/>
        </w:rPr>
        <w:t>公共数据资源目录</w:t>
      </w:r>
      <w:r>
        <w:rPr>
          <w:rFonts w:hint="default" w:ascii="Times New Roman" w:hAnsi="Times New Roman" w:eastAsia="仿宋_GB2312" w:cs="Times New Roman"/>
          <w:sz w:val="32"/>
          <w:szCs w:val="32"/>
          <w:lang w:val="en-US" w:eastAsia="zh-CN"/>
        </w:rPr>
        <w:t>（第一批）</w:t>
      </w:r>
    </w:p>
    <w:tbl>
      <w:tblPr>
        <w:tblStyle w:val="10"/>
        <w:tblpPr w:leftFromText="180" w:rightFromText="180" w:vertAnchor="text" w:horzAnchor="page" w:tblpX="1050" w:tblpY="274"/>
        <w:tblOverlap w:val="never"/>
        <w:tblW w:w="10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16"/>
        <w:gridCol w:w="5326"/>
        <w:gridCol w:w="1480"/>
        <w:gridCol w:w="896"/>
      </w:tblGrid>
      <w:tr w14:paraId="3FD0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888" w:type="dxa"/>
            <w:noWrap/>
            <w:vAlign w:val="center"/>
          </w:tcPr>
          <w:p w14:paraId="439D55CA">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lang w:val="en-US" w:eastAsia="zh-CN"/>
              </w:rPr>
              <w:t>领域</w:t>
            </w:r>
          </w:p>
        </w:tc>
        <w:tc>
          <w:tcPr>
            <w:tcW w:w="1416" w:type="dxa"/>
            <w:noWrap/>
            <w:vAlign w:val="center"/>
          </w:tcPr>
          <w:p w14:paraId="2B9D6F5E">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b w:val="0"/>
                <w:bCs w:val="0"/>
                <w:color w:val="000000"/>
                <w:kern w:val="0"/>
                <w:sz w:val="28"/>
                <w:szCs w:val="28"/>
                <w:highlight w:val="none"/>
                <w:lang w:val="en-US"/>
              </w:rPr>
            </w:pPr>
            <w:r>
              <w:rPr>
                <w:rFonts w:hint="default" w:ascii="Times New Roman" w:hAnsi="Times New Roman" w:eastAsia="黑体" w:cs="Times New Roman"/>
                <w:b w:val="0"/>
                <w:bCs w:val="0"/>
                <w:color w:val="000000"/>
                <w:kern w:val="0"/>
                <w:sz w:val="28"/>
                <w:szCs w:val="28"/>
                <w:highlight w:val="none"/>
                <w:lang w:val="en-US" w:eastAsia="zh-CN"/>
              </w:rPr>
              <w:t>数源单位</w:t>
            </w:r>
          </w:p>
        </w:tc>
        <w:tc>
          <w:tcPr>
            <w:tcW w:w="5326" w:type="dxa"/>
            <w:noWrap/>
            <w:vAlign w:val="center"/>
          </w:tcPr>
          <w:p w14:paraId="06FDC781">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b w:val="0"/>
                <w:bCs w:val="0"/>
                <w:color w:val="000000"/>
                <w:kern w:val="0"/>
                <w:sz w:val="28"/>
                <w:szCs w:val="28"/>
                <w:highlight w:val="none"/>
                <w:lang w:val="en-US"/>
              </w:rPr>
            </w:pPr>
            <w:r>
              <w:rPr>
                <w:rFonts w:hint="default" w:ascii="Times New Roman" w:hAnsi="Times New Roman" w:eastAsia="黑体" w:cs="Times New Roman"/>
                <w:b w:val="0"/>
                <w:bCs w:val="0"/>
                <w:color w:val="000000"/>
                <w:kern w:val="0"/>
                <w:sz w:val="28"/>
                <w:szCs w:val="28"/>
                <w:highlight w:val="none"/>
                <w:lang w:val="en-US" w:eastAsia="zh-CN"/>
              </w:rPr>
              <w:t>数据资源目录</w:t>
            </w:r>
          </w:p>
        </w:tc>
        <w:tc>
          <w:tcPr>
            <w:tcW w:w="1480" w:type="dxa"/>
            <w:noWrap/>
            <w:vAlign w:val="center"/>
          </w:tcPr>
          <w:p w14:paraId="1DED473A">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lang w:val="en-US" w:eastAsia="zh-CN"/>
              </w:rPr>
              <w:t>提供方式</w:t>
            </w:r>
          </w:p>
        </w:tc>
        <w:tc>
          <w:tcPr>
            <w:tcW w:w="896" w:type="dxa"/>
            <w:noWrap/>
            <w:vAlign w:val="center"/>
          </w:tcPr>
          <w:p w14:paraId="3F540BD0">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lang w:val="en-US" w:eastAsia="zh-CN"/>
              </w:rPr>
              <w:t>更新周期</w:t>
            </w:r>
          </w:p>
        </w:tc>
      </w:tr>
      <w:tr w14:paraId="62C0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88" w:type="dxa"/>
            <w:vMerge w:val="restart"/>
            <w:noWrap/>
            <w:vAlign w:val="center"/>
          </w:tcPr>
          <w:p w14:paraId="6C3281A4">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医疗</w:t>
            </w:r>
          </w:p>
          <w:p w14:paraId="1A24B252">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健康</w:t>
            </w:r>
          </w:p>
        </w:tc>
        <w:tc>
          <w:tcPr>
            <w:tcW w:w="1416" w:type="dxa"/>
            <w:noWrap/>
            <w:vAlign w:val="center"/>
          </w:tcPr>
          <w:p w14:paraId="700D921B">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sz w:val="21"/>
                <w:szCs w:val="21"/>
                <w:highlight w:val="none"/>
                <w:u w:val="none"/>
                <w:lang w:val="en-US"/>
              </w:rPr>
            </w:pPr>
            <w:r>
              <w:rPr>
                <w:rFonts w:hint="default" w:ascii="Times New Roman" w:hAnsi="Times New Roman" w:eastAsia="仿宋_GB2312" w:cs="Times New Roman"/>
                <w:i w:val="0"/>
                <w:iCs w:val="0"/>
                <w:color w:val="auto"/>
                <w:kern w:val="0"/>
                <w:sz w:val="21"/>
                <w:szCs w:val="21"/>
                <w:highlight w:val="none"/>
                <w:u w:val="none"/>
                <w:lang w:val="en-US" w:eastAsia="zh-CN" w:bidi="ar"/>
              </w:rPr>
              <w:t>市卫健委</w:t>
            </w:r>
          </w:p>
        </w:tc>
        <w:tc>
          <w:tcPr>
            <w:tcW w:w="5326" w:type="dxa"/>
            <w:noWrap w:val="0"/>
            <w:vAlign w:val="center"/>
          </w:tcPr>
          <w:p w14:paraId="4A3C0275">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sz w:val="21"/>
                <w:szCs w:val="21"/>
                <w:highlight w:val="none"/>
                <w:u w:val="none"/>
                <w:lang w:val="en-US"/>
              </w:rPr>
            </w:pPr>
            <w:r>
              <w:rPr>
                <w:rFonts w:hint="default" w:ascii="Times New Roman" w:hAnsi="Times New Roman" w:eastAsia="仿宋_GB2312" w:cs="Times New Roman"/>
                <w:i w:val="0"/>
                <w:iCs w:val="0"/>
                <w:color w:val="auto"/>
                <w:kern w:val="0"/>
                <w:sz w:val="21"/>
                <w:szCs w:val="21"/>
                <w:highlight w:val="none"/>
                <w:u w:val="none"/>
                <w:lang w:val="en-US" w:eastAsia="zh-CN" w:bidi="ar"/>
              </w:rPr>
              <w:t>患者基本信息、诊断信息、就诊信息（门诊）、住院信息、出院小结、实验室检验信息、检查记录信息、用药信息、手术信息、费用信息、电子健康卡信息、</w:t>
            </w:r>
          </w:p>
        </w:tc>
        <w:tc>
          <w:tcPr>
            <w:tcW w:w="1480" w:type="dxa"/>
            <w:noWrap/>
            <w:vAlign w:val="center"/>
          </w:tcPr>
          <w:p w14:paraId="4E124C8E">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接口、库表</w:t>
            </w:r>
          </w:p>
        </w:tc>
        <w:tc>
          <w:tcPr>
            <w:tcW w:w="896" w:type="dxa"/>
            <w:noWrap/>
            <w:vAlign w:val="center"/>
          </w:tcPr>
          <w:p w14:paraId="0C89C36D">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实时</w:t>
            </w:r>
          </w:p>
        </w:tc>
      </w:tr>
      <w:tr w14:paraId="591A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88" w:type="dxa"/>
            <w:vMerge w:val="continue"/>
            <w:noWrap/>
            <w:vAlign w:val="center"/>
          </w:tcPr>
          <w:p w14:paraId="786C37F0">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16" w:type="dxa"/>
            <w:noWrap/>
            <w:vAlign w:val="center"/>
          </w:tcPr>
          <w:p w14:paraId="0CF12A62">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市医保局</w:t>
            </w:r>
          </w:p>
        </w:tc>
        <w:tc>
          <w:tcPr>
            <w:tcW w:w="5326" w:type="dxa"/>
            <w:noWrap w:val="0"/>
            <w:vAlign w:val="center"/>
          </w:tcPr>
          <w:p w14:paraId="4396A807">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人医保账户缴费信息、缴费记录</w:t>
            </w:r>
          </w:p>
        </w:tc>
        <w:tc>
          <w:tcPr>
            <w:tcW w:w="1480" w:type="dxa"/>
            <w:noWrap/>
            <w:vAlign w:val="center"/>
          </w:tcPr>
          <w:p w14:paraId="42572E92">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接口、库表、</w:t>
            </w:r>
          </w:p>
        </w:tc>
        <w:tc>
          <w:tcPr>
            <w:tcW w:w="896" w:type="dxa"/>
            <w:noWrap/>
            <w:vAlign w:val="center"/>
          </w:tcPr>
          <w:p w14:paraId="75669B24">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每日</w:t>
            </w:r>
          </w:p>
        </w:tc>
      </w:tr>
      <w:tr w14:paraId="2C92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8" w:type="dxa"/>
            <w:vMerge w:val="restart"/>
            <w:noWrap/>
            <w:vAlign w:val="center"/>
          </w:tcPr>
          <w:p w14:paraId="750B0FD5">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金融</w:t>
            </w:r>
          </w:p>
          <w:p w14:paraId="27D2A625">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color w:val="000000"/>
                <w:kern w:val="0"/>
                <w:sz w:val="21"/>
                <w:szCs w:val="21"/>
                <w:highlight w:val="none"/>
                <w:u w:val="none"/>
                <w:lang w:val="en-US" w:eastAsia="zh-CN" w:bidi="ar"/>
              </w:rPr>
              <w:t>服务</w:t>
            </w:r>
          </w:p>
        </w:tc>
        <w:tc>
          <w:tcPr>
            <w:tcW w:w="1416" w:type="dxa"/>
            <w:noWrap/>
            <w:vAlign w:val="center"/>
          </w:tcPr>
          <w:p w14:paraId="3B1E9791">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市市场监管局</w:t>
            </w:r>
          </w:p>
        </w:tc>
        <w:tc>
          <w:tcPr>
            <w:tcW w:w="5326" w:type="dxa"/>
            <w:noWrap/>
            <w:vAlign w:val="center"/>
          </w:tcPr>
          <w:p w14:paraId="26DE8783">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2"/>
                <w:sz w:val="21"/>
                <w:szCs w:val="21"/>
                <w:highlight w:val="none"/>
                <w:u w:val="none"/>
                <w:lang w:val="en-US" w:eastAsia="zh-CN" w:bidi="ar-SA"/>
              </w:rPr>
              <w:t>企业基本信息、法定代表人、</w:t>
            </w:r>
            <w:r>
              <w:rPr>
                <w:rFonts w:hint="default" w:ascii="Times New Roman" w:hAnsi="Times New Roman" w:eastAsia="仿宋_GB2312" w:cs="Times New Roman"/>
              </w:rPr>
              <w:t>企业股东信息、企业对外投资信息、企业变更信息</w:t>
            </w:r>
            <w:r>
              <w:rPr>
                <w:rFonts w:hint="default" w:ascii="Times New Roman" w:hAnsi="Times New Roman" w:eastAsia="仿宋_GB2312" w:cs="Times New Roman"/>
                <w:i w:val="0"/>
                <w:iCs w:val="0"/>
                <w:color w:val="auto"/>
                <w:kern w:val="2"/>
                <w:sz w:val="21"/>
                <w:szCs w:val="21"/>
                <w:highlight w:val="none"/>
                <w:u w:val="none"/>
                <w:lang w:val="en-US" w:eastAsia="zh-CN" w:bidi="ar-SA"/>
              </w:rPr>
              <w:t>、迁入登记、主体注销、企业年报信息、行政强制信息、行政处罚信息、</w:t>
            </w:r>
            <w:r>
              <w:rPr>
                <w:rFonts w:hint="default" w:ascii="Times New Roman" w:hAnsi="Times New Roman" w:eastAsia="仿宋_GB2312" w:cs="Times New Roman"/>
              </w:rPr>
              <w:t>商标信息、</w:t>
            </w:r>
            <w:r>
              <w:rPr>
                <w:rFonts w:hint="default" w:ascii="Times New Roman" w:hAnsi="Times New Roman" w:eastAsia="仿宋_GB2312" w:cs="Times New Roman"/>
                <w:i w:val="0"/>
                <w:iCs w:val="0"/>
                <w:color w:val="auto"/>
                <w:kern w:val="2"/>
                <w:sz w:val="21"/>
                <w:szCs w:val="21"/>
                <w:highlight w:val="none"/>
                <w:u w:val="none"/>
                <w:lang w:val="en-US" w:eastAsia="zh-CN" w:bidi="ar-SA"/>
              </w:rPr>
              <w:t>经营异常信息</w:t>
            </w:r>
          </w:p>
        </w:tc>
        <w:tc>
          <w:tcPr>
            <w:tcW w:w="1480" w:type="dxa"/>
            <w:noWrap/>
            <w:vAlign w:val="center"/>
          </w:tcPr>
          <w:p w14:paraId="67416119">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0"/>
                <w:sz w:val="21"/>
                <w:szCs w:val="21"/>
                <w:highlight w:val="none"/>
                <w:u w:val="none"/>
                <w:lang w:val="en-US" w:eastAsia="zh-CN" w:bidi="ar"/>
              </w:rPr>
              <w:t>接口、库表</w:t>
            </w:r>
          </w:p>
        </w:tc>
        <w:tc>
          <w:tcPr>
            <w:tcW w:w="896" w:type="dxa"/>
            <w:noWrap/>
            <w:vAlign w:val="center"/>
          </w:tcPr>
          <w:p w14:paraId="7CD83391">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仿宋_GB2312" w:cs="Times New Roman"/>
                <w:i w:val="0"/>
                <w:iCs w:val="0"/>
                <w:color w:val="auto"/>
                <w:kern w:val="2"/>
                <w:sz w:val="21"/>
                <w:szCs w:val="21"/>
                <w:highlight w:val="none"/>
                <w:u w:val="none"/>
                <w:lang w:val="en-US" w:eastAsia="zh-CN" w:bidi="ar-SA"/>
              </w:rPr>
            </w:pPr>
            <w:r>
              <w:rPr>
                <w:rFonts w:hint="default" w:ascii="Times New Roman" w:hAnsi="Times New Roman" w:eastAsia="仿宋_GB2312" w:cs="Times New Roman"/>
                <w:i w:val="0"/>
                <w:iCs w:val="0"/>
                <w:color w:val="auto"/>
                <w:kern w:val="2"/>
                <w:sz w:val="21"/>
                <w:szCs w:val="21"/>
                <w:highlight w:val="none"/>
                <w:u w:val="none"/>
                <w:lang w:val="en-US" w:eastAsia="zh-CN" w:bidi="ar-SA"/>
              </w:rPr>
              <w:t>每日</w:t>
            </w:r>
          </w:p>
        </w:tc>
      </w:tr>
      <w:tr w14:paraId="16D5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8" w:type="dxa"/>
            <w:vMerge w:val="continue"/>
            <w:noWrap/>
            <w:vAlign w:val="center"/>
          </w:tcPr>
          <w:p w14:paraId="6FB833CC">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16" w:type="dxa"/>
            <w:noWrap/>
            <w:vAlign w:val="center"/>
          </w:tcPr>
          <w:p w14:paraId="1D67A5BB">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市公积金中心</w:t>
            </w:r>
          </w:p>
        </w:tc>
        <w:tc>
          <w:tcPr>
            <w:tcW w:w="5326" w:type="dxa"/>
            <w:noWrap/>
            <w:vAlign w:val="center"/>
          </w:tcPr>
          <w:p w14:paraId="6347DC9D">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共同借款人信息、个人贷款信息、贷款担保信息、个人贷款账户信息、个人账户信息、个人信息、</w:t>
            </w:r>
            <w:r>
              <w:rPr>
                <w:rFonts w:hint="default" w:ascii="Times New Roman" w:hAnsi="Times New Roman" w:eastAsia="仿宋_GB2312" w:cs="Times New Roman"/>
              </w:rPr>
              <w:t>单位公积金缴存登记信息、公积金单位缴存信息、单位公积金缴存登记变更信息、缴存单位明细信息、</w:t>
            </w:r>
          </w:p>
        </w:tc>
        <w:tc>
          <w:tcPr>
            <w:tcW w:w="1480" w:type="dxa"/>
            <w:noWrap/>
            <w:vAlign w:val="center"/>
          </w:tcPr>
          <w:p w14:paraId="6580FA70">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库表</w:t>
            </w:r>
          </w:p>
        </w:tc>
        <w:tc>
          <w:tcPr>
            <w:tcW w:w="896" w:type="dxa"/>
            <w:noWrap/>
            <w:vAlign w:val="center"/>
          </w:tcPr>
          <w:p w14:paraId="66FD5607">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每日</w:t>
            </w:r>
          </w:p>
        </w:tc>
      </w:tr>
      <w:tr w14:paraId="27CD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8" w:type="dxa"/>
            <w:vMerge w:val="continue"/>
            <w:noWrap/>
            <w:vAlign w:val="center"/>
          </w:tcPr>
          <w:p w14:paraId="23A5FE53">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16" w:type="dxa"/>
            <w:noWrap/>
            <w:vAlign w:val="center"/>
          </w:tcPr>
          <w:p w14:paraId="0A19D35C">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市人社局</w:t>
            </w:r>
          </w:p>
        </w:tc>
        <w:tc>
          <w:tcPr>
            <w:tcW w:w="5326" w:type="dxa"/>
            <w:noWrap/>
            <w:vAlign w:val="center"/>
          </w:tcPr>
          <w:p w14:paraId="020701A4">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olor w:val="auto"/>
                <w:kern w:val="0"/>
                <w:sz w:val="21"/>
                <w:szCs w:val="21"/>
                <w:highlight w:val="none"/>
                <w:u w:val="none"/>
                <w:lang w:val="en-US" w:eastAsia="zh-CN" w:bidi="ar"/>
              </w:rPr>
              <w:t>职工基本信息、职工参保信息、个人社保缴纳信息、</w:t>
            </w:r>
            <w:r>
              <w:rPr>
                <w:rFonts w:hint="default" w:ascii="Times New Roman" w:hAnsi="Times New Roman" w:eastAsia="仿宋_GB2312" w:cs="Times New Roman"/>
              </w:rPr>
              <w:t>养老保险参保信息、</w:t>
            </w:r>
            <w:r>
              <w:rPr>
                <w:rFonts w:hint="default" w:ascii="Times New Roman" w:hAnsi="Times New Roman" w:eastAsia="仿宋_GB2312" w:cs="Times New Roman"/>
                <w:kern w:val="0"/>
                <w:szCs w:val="21"/>
              </w:rPr>
              <w:t>机关事业单位人员社会保险缴费</w:t>
            </w:r>
            <w:r>
              <w:rPr>
                <w:rFonts w:hint="default" w:ascii="Times New Roman" w:hAnsi="Times New Roman" w:eastAsia="仿宋_GB2312" w:cs="Times New Roman"/>
                <w:kern w:val="0"/>
                <w:szCs w:val="21"/>
                <w:lang w:val="en-US" w:eastAsia="zh-CN"/>
              </w:rPr>
              <w:t>信息</w:t>
            </w:r>
          </w:p>
        </w:tc>
        <w:tc>
          <w:tcPr>
            <w:tcW w:w="1480" w:type="dxa"/>
            <w:noWrap/>
            <w:vAlign w:val="center"/>
          </w:tcPr>
          <w:p w14:paraId="6D0A311E">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库表</w:t>
            </w:r>
          </w:p>
        </w:tc>
        <w:tc>
          <w:tcPr>
            <w:tcW w:w="896" w:type="dxa"/>
            <w:noWrap/>
            <w:vAlign w:val="center"/>
          </w:tcPr>
          <w:p w14:paraId="6A4B0762">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每月</w:t>
            </w:r>
          </w:p>
        </w:tc>
      </w:tr>
      <w:tr w14:paraId="6570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8" w:type="dxa"/>
            <w:vMerge w:val="continue"/>
            <w:noWrap/>
            <w:vAlign w:val="center"/>
          </w:tcPr>
          <w:p w14:paraId="6885B5BD">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16" w:type="dxa"/>
            <w:shd w:val="clear" w:color="auto" w:fill="auto"/>
            <w:noWrap/>
            <w:vAlign w:val="center"/>
          </w:tcPr>
          <w:p w14:paraId="291B1E26">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市自然资源和规划局</w:t>
            </w:r>
          </w:p>
        </w:tc>
        <w:tc>
          <w:tcPr>
            <w:tcW w:w="5326" w:type="dxa"/>
            <w:shd w:val="clear" w:color="auto" w:fill="auto"/>
            <w:noWrap/>
            <w:vAlign w:val="center"/>
          </w:tcPr>
          <w:p w14:paraId="54D3653B">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不动产登记证书信息、不动产-权利人、不动产-查封登记、不动产-异议登记、不动产-抵押权</w:t>
            </w:r>
          </w:p>
        </w:tc>
        <w:tc>
          <w:tcPr>
            <w:tcW w:w="1480" w:type="dxa"/>
            <w:shd w:val="clear" w:color="auto" w:fill="auto"/>
            <w:noWrap/>
            <w:vAlign w:val="center"/>
          </w:tcPr>
          <w:p w14:paraId="62690033">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库表</w:t>
            </w:r>
          </w:p>
        </w:tc>
        <w:tc>
          <w:tcPr>
            <w:tcW w:w="896" w:type="dxa"/>
            <w:shd w:val="clear" w:color="auto" w:fill="auto"/>
            <w:noWrap/>
            <w:vAlign w:val="center"/>
          </w:tcPr>
          <w:p w14:paraId="1EC9CFF6">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每日</w:t>
            </w:r>
          </w:p>
        </w:tc>
      </w:tr>
      <w:tr w14:paraId="0012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8" w:type="dxa"/>
            <w:vMerge w:val="continue"/>
            <w:noWrap/>
            <w:vAlign w:val="center"/>
          </w:tcPr>
          <w:p w14:paraId="27B863E2">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p>
        </w:tc>
        <w:tc>
          <w:tcPr>
            <w:tcW w:w="1416" w:type="dxa"/>
            <w:shd w:val="clear" w:color="auto" w:fill="auto"/>
            <w:noWrap/>
            <w:vAlign w:val="center"/>
          </w:tcPr>
          <w:p w14:paraId="004D87B2">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市中级人民法院</w:t>
            </w:r>
          </w:p>
        </w:tc>
        <w:tc>
          <w:tcPr>
            <w:tcW w:w="5326" w:type="dxa"/>
            <w:shd w:val="clear" w:color="auto" w:fill="auto"/>
            <w:noWrap/>
            <w:vAlign w:val="center"/>
          </w:tcPr>
          <w:p w14:paraId="4E7D08A8">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裁判文书终审判决信息、被执行人信息</w:t>
            </w:r>
          </w:p>
        </w:tc>
        <w:tc>
          <w:tcPr>
            <w:tcW w:w="1480" w:type="dxa"/>
            <w:shd w:val="clear" w:color="auto" w:fill="auto"/>
            <w:noWrap/>
            <w:vAlign w:val="center"/>
          </w:tcPr>
          <w:p w14:paraId="002E0FF1">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文件交换</w:t>
            </w:r>
          </w:p>
        </w:tc>
        <w:tc>
          <w:tcPr>
            <w:tcW w:w="896" w:type="dxa"/>
            <w:shd w:val="clear" w:color="auto" w:fill="auto"/>
            <w:noWrap/>
            <w:vAlign w:val="center"/>
          </w:tcPr>
          <w:p w14:paraId="5FF6DFBB">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每月</w:t>
            </w:r>
          </w:p>
        </w:tc>
      </w:tr>
      <w:tr w14:paraId="465C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88" w:type="dxa"/>
            <w:vMerge w:val="restart"/>
            <w:noWrap/>
            <w:vAlign w:val="center"/>
          </w:tcPr>
          <w:p w14:paraId="078DD692">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交通</w:t>
            </w:r>
          </w:p>
          <w:p w14:paraId="691ED974">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运输</w:t>
            </w:r>
          </w:p>
        </w:tc>
        <w:tc>
          <w:tcPr>
            <w:tcW w:w="1416" w:type="dxa"/>
            <w:noWrap/>
            <w:vAlign w:val="center"/>
          </w:tcPr>
          <w:p w14:paraId="65F16D71">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sz w:val="21"/>
                <w:szCs w:val="21"/>
                <w:highlight w:val="none"/>
                <w:u w:val="none"/>
              </w:rPr>
              <w:t>市交通运输局</w:t>
            </w:r>
          </w:p>
        </w:tc>
        <w:tc>
          <w:tcPr>
            <w:tcW w:w="5326" w:type="dxa"/>
            <w:noWrap/>
            <w:vAlign w:val="center"/>
          </w:tcPr>
          <w:p w14:paraId="2D0DB123">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出租车公司基本信息、出租车营运证信息、出租车辆信息表、出租车驾驶员基本信息</w:t>
            </w:r>
          </w:p>
        </w:tc>
        <w:tc>
          <w:tcPr>
            <w:tcW w:w="1480" w:type="dxa"/>
            <w:noWrap/>
            <w:vAlign w:val="center"/>
          </w:tcPr>
          <w:p w14:paraId="1E68C449">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库表</w:t>
            </w:r>
          </w:p>
        </w:tc>
        <w:tc>
          <w:tcPr>
            <w:tcW w:w="896" w:type="dxa"/>
            <w:noWrap/>
            <w:vAlign w:val="center"/>
          </w:tcPr>
          <w:p w14:paraId="1D1EAC65">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定期</w:t>
            </w:r>
          </w:p>
        </w:tc>
      </w:tr>
      <w:tr w14:paraId="0615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88" w:type="dxa"/>
            <w:vMerge w:val="continue"/>
            <w:noWrap/>
            <w:vAlign w:val="center"/>
          </w:tcPr>
          <w:p w14:paraId="7D1288FE">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仿宋_GB2312" w:cs="Times New Roman"/>
                <w:i w:val="0"/>
                <w:iCs w:val="0"/>
                <w:color w:val="000000"/>
                <w:sz w:val="21"/>
                <w:szCs w:val="21"/>
                <w:highlight w:val="none"/>
                <w:u w:val="none"/>
              </w:rPr>
            </w:pPr>
          </w:p>
        </w:tc>
        <w:tc>
          <w:tcPr>
            <w:tcW w:w="1416" w:type="dxa"/>
            <w:noWrap/>
            <w:vAlign w:val="center"/>
          </w:tcPr>
          <w:p w14:paraId="54902DB5">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市公安局</w:t>
            </w:r>
          </w:p>
        </w:tc>
        <w:tc>
          <w:tcPr>
            <w:tcW w:w="5326" w:type="dxa"/>
            <w:noWrap/>
            <w:vAlign w:val="center"/>
          </w:tcPr>
          <w:p w14:paraId="09DCE4FD">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机动车信息、行驶证信息、驾驶员信息</w:t>
            </w:r>
          </w:p>
        </w:tc>
        <w:tc>
          <w:tcPr>
            <w:tcW w:w="1480" w:type="dxa"/>
            <w:noWrap/>
            <w:vAlign w:val="center"/>
          </w:tcPr>
          <w:p w14:paraId="5DDFFDF0">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接口、库表</w:t>
            </w:r>
          </w:p>
        </w:tc>
        <w:tc>
          <w:tcPr>
            <w:tcW w:w="896" w:type="dxa"/>
            <w:noWrap/>
            <w:vAlign w:val="center"/>
          </w:tcPr>
          <w:p w14:paraId="769380DA">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仿宋_GB2312" w:cs="Times New Roman"/>
                <w:i w:val="0"/>
                <w:iCs w:val="0"/>
                <w:color w:val="auto"/>
                <w:sz w:val="21"/>
                <w:szCs w:val="21"/>
                <w:highlight w:val="none"/>
                <w:u w:val="none"/>
                <w:lang w:val="en-US" w:eastAsia="zh-CN"/>
              </w:rPr>
            </w:pPr>
            <w:r>
              <w:rPr>
                <w:rFonts w:hint="default" w:ascii="Times New Roman" w:hAnsi="Times New Roman" w:eastAsia="仿宋_GB2312" w:cs="Times New Roman"/>
                <w:i w:val="0"/>
                <w:iCs w:val="0"/>
                <w:color w:val="auto"/>
                <w:sz w:val="21"/>
                <w:szCs w:val="21"/>
                <w:highlight w:val="none"/>
                <w:u w:val="none"/>
                <w:lang w:val="en-US" w:eastAsia="zh-CN"/>
              </w:rPr>
              <w:t>实时</w:t>
            </w:r>
          </w:p>
        </w:tc>
      </w:tr>
      <w:tr w14:paraId="6170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88" w:type="dxa"/>
            <w:vMerge w:val="restart"/>
            <w:noWrap/>
            <w:vAlign w:val="center"/>
          </w:tcPr>
          <w:p w14:paraId="79D05C0B">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教育</w:t>
            </w:r>
          </w:p>
          <w:p w14:paraId="78A0F148">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服务</w:t>
            </w:r>
          </w:p>
        </w:tc>
        <w:tc>
          <w:tcPr>
            <w:tcW w:w="1416" w:type="dxa"/>
            <w:noWrap/>
            <w:vAlign w:val="center"/>
          </w:tcPr>
          <w:p w14:paraId="623D2701">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市教体局</w:t>
            </w:r>
          </w:p>
        </w:tc>
        <w:tc>
          <w:tcPr>
            <w:tcW w:w="5326" w:type="dxa"/>
            <w:noWrap w:val="0"/>
            <w:vAlign w:val="center"/>
          </w:tcPr>
          <w:p w14:paraId="7889BF09">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普通中小学校基本信息</w:t>
            </w:r>
          </w:p>
        </w:tc>
        <w:tc>
          <w:tcPr>
            <w:tcW w:w="1480" w:type="dxa"/>
            <w:noWrap/>
            <w:vAlign w:val="center"/>
          </w:tcPr>
          <w:p w14:paraId="3ACEE2A8">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接口、库表</w:t>
            </w:r>
          </w:p>
        </w:tc>
        <w:tc>
          <w:tcPr>
            <w:tcW w:w="896" w:type="dxa"/>
            <w:noWrap/>
            <w:vAlign w:val="center"/>
          </w:tcPr>
          <w:p w14:paraId="4D421580">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仿宋_GB2312" w:cs="Times New Roman"/>
                <w:i w:val="0"/>
                <w:iCs w:val="0"/>
                <w:color w:val="auto"/>
                <w:sz w:val="21"/>
                <w:szCs w:val="21"/>
                <w:highlight w:val="none"/>
                <w:u w:val="none"/>
                <w:lang w:val="en-US"/>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定期</w:t>
            </w:r>
          </w:p>
        </w:tc>
      </w:tr>
      <w:tr w14:paraId="1D58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8" w:type="dxa"/>
            <w:vMerge w:val="continue"/>
            <w:noWrap/>
            <w:vAlign w:val="center"/>
          </w:tcPr>
          <w:p w14:paraId="26BEF9C0">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仿宋_GB2312" w:cs="Times New Roman"/>
                <w:i w:val="0"/>
                <w:iCs w:val="0"/>
                <w:color w:val="000000"/>
                <w:sz w:val="21"/>
                <w:szCs w:val="21"/>
                <w:highlight w:val="none"/>
                <w:u w:val="none"/>
              </w:rPr>
            </w:pPr>
          </w:p>
        </w:tc>
        <w:tc>
          <w:tcPr>
            <w:tcW w:w="1416" w:type="dxa"/>
            <w:noWrap/>
            <w:vAlign w:val="center"/>
          </w:tcPr>
          <w:p w14:paraId="13BCD0FB">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市民政局</w:t>
            </w:r>
          </w:p>
        </w:tc>
        <w:tc>
          <w:tcPr>
            <w:tcW w:w="5326" w:type="dxa"/>
            <w:noWrap/>
            <w:vAlign w:val="center"/>
          </w:tcPr>
          <w:p w14:paraId="0DB94504">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000000"/>
                <w:sz w:val="21"/>
                <w:szCs w:val="21"/>
                <w:highlight w:val="none"/>
                <w:u w:val="none"/>
                <w:lang w:val="en-US"/>
              </w:rPr>
            </w:pPr>
            <w:r>
              <w:rPr>
                <w:rFonts w:hint="default" w:ascii="Times New Roman" w:hAnsi="Times New Roman" w:eastAsia="仿宋_GB2312" w:cs="Times New Roman"/>
                <w:i w:val="0"/>
                <w:iCs w:val="0"/>
                <w:color w:val="000000"/>
                <w:kern w:val="0"/>
                <w:sz w:val="21"/>
                <w:szCs w:val="21"/>
                <w:highlight w:val="none"/>
                <w:u w:val="none"/>
                <w:lang w:val="en-US" w:eastAsia="zh-CN" w:bidi="ar"/>
              </w:rPr>
              <w:t>特困家庭、五保户对象信息、低保对象信息、结婚登记信息、离婚登记信息、火化记录</w:t>
            </w:r>
          </w:p>
        </w:tc>
        <w:tc>
          <w:tcPr>
            <w:tcW w:w="1480" w:type="dxa"/>
            <w:noWrap/>
            <w:vAlign w:val="center"/>
          </w:tcPr>
          <w:p w14:paraId="1C22893C">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接口、库表</w:t>
            </w:r>
          </w:p>
        </w:tc>
        <w:tc>
          <w:tcPr>
            <w:tcW w:w="896" w:type="dxa"/>
            <w:noWrap/>
            <w:vAlign w:val="center"/>
          </w:tcPr>
          <w:p w14:paraId="62DEDB11">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每日</w:t>
            </w:r>
          </w:p>
        </w:tc>
      </w:tr>
      <w:tr w14:paraId="7AA9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8" w:type="dxa"/>
            <w:noWrap/>
            <w:vAlign w:val="center"/>
          </w:tcPr>
          <w:p w14:paraId="4451719C">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科技</w:t>
            </w:r>
          </w:p>
          <w:p w14:paraId="20DED553">
            <w:pPr>
              <w:keepNext w:val="0"/>
              <w:keepLines w:val="0"/>
              <w:pageBreakBefore w:val="0"/>
              <w:widowControl/>
              <w:kinsoku/>
              <w:wordWrap/>
              <w:overflowPunct/>
              <w:topLinePunct w:val="0"/>
              <w:autoSpaceDE/>
              <w:autoSpaceDN/>
              <w:bidi w:val="0"/>
              <w:adjustRightInd/>
              <w:snapToGrid/>
              <w:spacing w:after="0" w:afterLines="0" w:line="300" w:lineRule="exact"/>
              <w:jc w:val="center"/>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创新</w:t>
            </w:r>
          </w:p>
        </w:tc>
        <w:tc>
          <w:tcPr>
            <w:tcW w:w="1416" w:type="dxa"/>
            <w:noWrap/>
            <w:vAlign w:val="center"/>
          </w:tcPr>
          <w:p w14:paraId="78BC361D">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市科技局</w:t>
            </w:r>
          </w:p>
        </w:tc>
        <w:tc>
          <w:tcPr>
            <w:tcW w:w="5326" w:type="dxa"/>
            <w:noWrap/>
            <w:vAlign w:val="center"/>
          </w:tcPr>
          <w:p w14:paraId="38A95E7B">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rPr>
              <w:t>科技企业信息、省级科技型中小企业信息、国家高新技术企业信息</w:t>
            </w:r>
          </w:p>
        </w:tc>
        <w:tc>
          <w:tcPr>
            <w:tcW w:w="1480" w:type="dxa"/>
            <w:noWrap/>
            <w:vAlign w:val="center"/>
          </w:tcPr>
          <w:p w14:paraId="3ED8A7CC">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接口、库表</w:t>
            </w:r>
          </w:p>
        </w:tc>
        <w:tc>
          <w:tcPr>
            <w:tcW w:w="896" w:type="dxa"/>
            <w:noWrap/>
            <w:vAlign w:val="center"/>
          </w:tcPr>
          <w:p w14:paraId="4B57D639">
            <w:pPr>
              <w:keepNext w:val="0"/>
              <w:keepLines w:val="0"/>
              <w:pageBreakBefore w:val="0"/>
              <w:widowControl/>
              <w:kinsoku/>
              <w:wordWrap/>
              <w:overflowPunct/>
              <w:topLinePunct w:val="0"/>
              <w:autoSpaceDE/>
              <w:autoSpaceDN/>
              <w:bidi w:val="0"/>
              <w:adjustRightInd/>
              <w:snapToGrid/>
              <w:spacing w:after="0" w:afterLines="0" w:line="300" w:lineRule="exact"/>
              <w:rPr>
                <w:rFonts w:hint="default" w:ascii="Times New Roman" w:hAnsi="Times New Roman" w:eastAsia="仿宋_GB2312" w:cs="Times New Roman"/>
                <w:i w:val="0"/>
                <w:iCs w:val="0"/>
                <w:color w:val="000000"/>
                <w:sz w:val="21"/>
                <w:szCs w:val="21"/>
                <w:highlight w:val="none"/>
                <w:u w:val="none"/>
                <w:lang w:val="en-US" w:eastAsia="zh-CN"/>
              </w:rPr>
            </w:pPr>
            <w:r>
              <w:rPr>
                <w:rFonts w:hint="default" w:ascii="Times New Roman" w:hAnsi="Times New Roman" w:eastAsia="仿宋_GB2312" w:cs="Times New Roman"/>
                <w:i w:val="0"/>
                <w:iCs w:val="0"/>
                <w:color w:val="000000"/>
                <w:sz w:val="21"/>
                <w:szCs w:val="21"/>
                <w:highlight w:val="none"/>
                <w:u w:val="none"/>
                <w:lang w:val="en-US" w:eastAsia="zh-CN"/>
              </w:rPr>
              <w:t>定期</w:t>
            </w:r>
          </w:p>
        </w:tc>
      </w:tr>
      <w:tr w14:paraId="6AE6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8" w:type="dxa"/>
            <w:shd w:val="clear" w:color="auto" w:fill="auto"/>
            <w:noWrap/>
            <w:vAlign w:val="center"/>
          </w:tcPr>
          <w:p w14:paraId="4F1A80FB">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文化</w:t>
            </w:r>
          </w:p>
          <w:p w14:paraId="51700DE8">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旅游</w:t>
            </w:r>
          </w:p>
        </w:tc>
        <w:tc>
          <w:tcPr>
            <w:tcW w:w="1416" w:type="dxa"/>
            <w:shd w:val="clear" w:color="auto" w:fill="auto"/>
            <w:noWrap/>
            <w:vAlign w:val="center"/>
          </w:tcPr>
          <w:p w14:paraId="0B5710D0">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市文旅局</w:t>
            </w:r>
          </w:p>
        </w:tc>
        <w:tc>
          <w:tcPr>
            <w:tcW w:w="5326" w:type="dxa"/>
            <w:shd w:val="clear" w:color="auto" w:fill="auto"/>
            <w:noWrap/>
            <w:vAlign w:val="center"/>
          </w:tcPr>
          <w:p w14:paraId="0BE2380A">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景区、旅行社信息、旅行社业务经营许可证</w:t>
            </w:r>
          </w:p>
        </w:tc>
        <w:tc>
          <w:tcPr>
            <w:tcW w:w="1480" w:type="dxa"/>
            <w:shd w:val="clear" w:color="auto" w:fill="auto"/>
            <w:noWrap/>
            <w:vAlign w:val="center"/>
          </w:tcPr>
          <w:p w14:paraId="7D61BF43">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接口、库表</w:t>
            </w:r>
          </w:p>
        </w:tc>
        <w:tc>
          <w:tcPr>
            <w:tcW w:w="896" w:type="dxa"/>
            <w:shd w:val="clear" w:color="auto" w:fill="auto"/>
            <w:noWrap/>
            <w:vAlign w:val="center"/>
          </w:tcPr>
          <w:p w14:paraId="43D991F5">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定期</w:t>
            </w:r>
          </w:p>
        </w:tc>
      </w:tr>
      <w:tr w14:paraId="2EDB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8" w:type="dxa"/>
            <w:shd w:val="clear" w:color="auto" w:fill="auto"/>
            <w:noWrap/>
            <w:vAlign w:val="center"/>
          </w:tcPr>
          <w:p w14:paraId="04A25284">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农业</w:t>
            </w:r>
          </w:p>
          <w:p w14:paraId="187036D7">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生产</w:t>
            </w:r>
          </w:p>
        </w:tc>
        <w:tc>
          <w:tcPr>
            <w:tcW w:w="1416" w:type="dxa"/>
            <w:shd w:val="clear" w:color="auto" w:fill="auto"/>
            <w:noWrap/>
            <w:vAlign w:val="center"/>
          </w:tcPr>
          <w:p w14:paraId="29BEA564">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市农业农村局</w:t>
            </w:r>
          </w:p>
        </w:tc>
        <w:tc>
          <w:tcPr>
            <w:tcW w:w="5326" w:type="dxa"/>
            <w:shd w:val="clear" w:color="auto" w:fill="auto"/>
            <w:noWrap/>
            <w:vAlign w:val="center"/>
          </w:tcPr>
          <w:p w14:paraId="5E206549">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rPr>
              <w:t>农村土地承包信息</w:t>
            </w:r>
          </w:p>
        </w:tc>
        <w:tc>
          <w:tcPr>
            <w:tcW w:w="1480" w:type="dxa"/>
            <w:shd w:val="clear" w:color="auto" w:fill="auto"/>
            <w:noWrap/>
            <w:vAlign w:val="center"/>
          </w:tcPr>
          <w:p w14:paraId="6D8051D7">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库表</w:t>
            </w:r>
          </w:p>
        </w:tc>
        <w:tc>
          <w:tcPr>
            <w:tcW w:w="896" w:type="dxa"/>
            <w:shd w:val="clear" w:color="auto" w:fill="auto"/>
            <w:noWrap/>
            <w:vAlign w:val="center"/>
          </w:tcPr>
          <w:p w14:paraId="06E73468">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定期</w:t>
            </w:r>
          </w:p>
        </w:tc>
      </w:tr>
      <w:tr w14:paraId="0F3A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88" w:type="dxa"/>
            <w:shd w:val="clear" w:color="auto" w:fill="auto"/>
            <w:noWrap/>
            <w:vAlign w:val="center"/>
          </w:tcPr>
          <w:p w14:paraId="3918ECC0">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城市</w:t>
            </w:r>
          </w:p>
          <w:p w14:paraId="68EF70F2">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center"/>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治理</w:t>
            </w:r>
          </w:p>
        </w:tc>
        <w:tc>
          <w:tcPr>
            <w:tcW w:w="1416" w:type="dxa"/>
            <w:shd w:val="clear" w:color="auto" w:fill="auto"/>
            <w:noWrap/>
            <w:vAlign w:val="center"/>
          </w:tcPr>
          <w:p w14:paraId="701B393E">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市生态环境局</w:t>
            </w:r>
          </w:p>
        </w:tc>
        <w:tc>
          <w:tcPr>
            <w:tcW w:w="5326" w:type="dxa"/>
            <w:shd w:val="clear" w:color="auto" w:fill="auto"/>
            <w:noWrap/>
            <w:vAlign w:val="center"/>
          </w:tcPr>
          <w:p w14:paraId="5EB2A627">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企业环境信用评价信息、大气网格化监测空气质量信息、污染企业基本信息、污染源基本信息表、排污许可、危险废物经营许可证</w:t>
            </w:r>
          </w:p>
        </w:tc>
        <w:tc>
          <w:tcPr>
            <w:tcW w:w="1480" w:type="dxa"/>
            <w:shd w:val="clear" w:color="auto" w:fill="auto"/>
            <w:noWrap/>
            <w:vAlign w:val="center"/>
          </w:tcPr>
          <w:p w14:paraId="1503FE0E">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接口</w:t>
            </w:r>
          </w:p>
        </w:tc>
        <w:tc>
          <w:tcPr>
            <w:tcW w:w="896" w:type="dxa"/>
            <w:shd w:val="clear" w:color="auto" w:fill="auto"/>
            <w:noWrap/>
            <w:vAlign w:val="center"/>
          </w:tcPr>
          <w:p w14:paraId="64B205FE">
            <w:pPr>
              <w:keepNext w:val="0"/>
              <w:keepLines w:val="0"/>
              <w:pageBreakBefore w:val="0"/>
              <w:widowControl/>
              <w:suppressLineNumbers w:val="0"/>
              <w:kinsoku/>
              <w:wordWrap/>
              <w:overflowPunct/>
              <w:topLinePunct w:val="0"/>
              <w:autoSpaceDE/>
              <w:autoSpaceDN/>
              <w:bidi w:val="0"/>
              <w:adjustRightInd/>
              <w:snapToGrid/>
              <w:spacing w:after="0" w:afterLines="0" w:line="300" w:lineRule="exact"/>
              <w:jc w:val="left"/>
              <w:textAlignment w:val="cente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pPr>
            <w:r>
              <w:rPr>
                <w:rFonts w:hint="default" w:ascii="Times New Roman" w:hAnsi="Times New Roman" w:eastAsia="仿宋_GB2312" w:cs="Times New Roman"/>
                <w:i w:val="0"/>
                <w:iCs w:val="0"/>
                <w:strike w:val="0"/>
                <w:dstrike w:val="0"/>
                <w:color w:val="auto"/>
                <w:kern w:val="0"/>
                <w:sz w:val="21"/>
                <w:szCs w:val="21"/>
                <w:highlight w:val="none"/>
                <w:u w:val="none"/>
                <w:lang w:val="en-US" w:eastAsia="zh-CN" w:bidi="ar"/>
              </w:rPr>
              <w:t>定期</w:t>
            </w:r>
          </w:p>
        </w:tc>
      </w:tr>
    </w:tbl>
    <w:p w14:paraId="21A740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b w:val="0"/>
          <w:bCs w:val="0"/>
          <w:sz w:val="32"/>
          <w:szCs w:val="32"/>
          <w:lang w:val="en-US" w:eastAsia="zh-CN"/>
        </w:rPr>
      </w:pPr>
    </w:p>
    <w:p w14:paraId="1DBF7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b w:val="0"/>
          <w:bCs w:val="0"/>
          <w:sz w:val="32"/>
          <w:szCs w:val="32"/>
          <w:lang w:val="en-US" w:eastAsia="zh-CN"/>
        </w:rPr>
      </w:pPr>
    </w:p>
    <w:p w14:paraId="3700BC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附件3：</w:t>
      </w:r>
    </w:p>
    <w:p w14:paraId="1D275099">
      <w:pPr>
        <w:pStyle w:val="5"/>
        <w:keepNext w:val="0"/>
        <w:keepLines w:val="0"/>
        <w:pageBreakBefore w:val="0"/>
        <w:widowControl w:val="0"/>
        <w:wordWrap/>
        <w:overflowPunct/>
        <w:topLinePunct w:val="0"/>
        <w:bidi w:val="0"/>
        <w:spacing w:after="0" w:afterLines="0" w:line="560" w:lineRule="exact"/>
        <w:ind w:left="0" w:leftChars="0" w:firstLine="0" w:firstLineChars="0"/>
        <w:jc w:val="center"/>
        <w:rPr>
          <w:rFonts w:hint="default" w:ascii="Times New Roman" w:hAnsi="Times New Roman" w:eastAsia="方正小标宋简体" w:cs="Times New Roman"/>
          <w:sz w:val="44"/>
          <w:szCs w:val="44"/>
          <w:lang w:val="en-US" w:eastAsia="zh-CN"/>
        </w:rPr>
      </w:pPr>
    </w:p>
    <w:p w14:paraId="24406730">
      <w:pPr>
        <w:pStyle w:val="5"/>
        <w:keepNext w:val="0"/>
        <w:keepLines w:val="0"/>
        <w:pageBreakBefore w:val="0"/>
        <w:widowControl w:val="0"/>
        <w:wordWrap/>
        <w:overflowPunct/>
        <w:topLinePunct w:val="0"/>
        <w:bidi w:val="0"/>
        <w:spacing w:after="0" w:afterLines="0" w:line="560" w:lineRule="exact"/>
        <w:ind w:left="0" w:leftChars="0"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拟提供的公共数据产品和服务清单</w:t>
      </w:r>
    </w:p>
    <w:p w14:paraId="09B8B021">
      <w:pPr>
        <w:pStyle w:val="5"/>
        <w:keepNext w:val="0"/>
        <w:keepLines w:val="0"/>
        <w:pageBreakBefore w:val="0"/>
        <w:widowControl w:val="0"/>
        <w:wordWrap/>
        <w:overflowPunct/>
        <w:topLinePunct w:val="0"/>
        <w:bidi w:val="0"/>
        <w:spacing w:after="0" w:afterLines="0" w:line="560" w:lineRule="exact"/>
        <w:ind w:left="0" w:lef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（第一批）</w:t>
      </w:r>
    </w:p>
    <w:p w14:paraId="5851BFE9">
      <w:pPr>
        <w:pStyle w:val="2"/>
        <w:ind w:left="0" w:leftChars="0" w:firstLine="0" w:firstLineChars="0"/>
        <w:rPr>
          <w:rFonts w:hint="default" w:ascii="Times New Roman" w:hAnsi="Times New Roman" w:cs="Times New Roman"/>
          <w:lang w:val="en-US" w:eastAsia="zh-CN"/>
        </w:rPr>
      </w:pPr>
    </w:p>
    <w:tbl>
      <w:tblPr>
        <w:tblStyle w:val="10"/>
        <w:tblW w:w="83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9"/>
        <w:gridCol w:w="1657"/>
        <w:gridCol w:w="5427"/>
      </w:tblGrid>
      <w:tr w14:paraId="67F0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1F06">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应用领域</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AADD">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应用场景</w:t>
            </w:r>
          </w:p>
        </w:tc>
        <w:tc>
          <w:tcPr>
            <w:tcW w:w="5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0646">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场景应用方向</w:t>
            </w:r>
          </w:p>
        </w:tc>
      </w:tr>
      <w:tr w14:paraId="7353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3DD0">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医疗健康</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0878">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医药研发</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207">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以临床过程中人员治疗数据为基础，挖掘数据中隐藏的规律和趋势，发现新药候选者并优化其性能，为临床试验设计提供改进意见。</w:t>
            </w:r>
          </w:p>
        </w:tc>
      </w:tr>
      <w:tr w14:paraId="4373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A69B">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医疗健康</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A3FD">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商保理赔</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DB8">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以临床过程中人员治疗数据、缴费信息、缴费记录为基础，基于用户授权，提供保险快赔数据服务。</w:t>
            </w:r>
          </w:p>
        </w:tc>
      </w:tr>
      <w:tr w14:paraId="04ED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9741">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医疗健康</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A66B">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健康管理</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AD99">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以个人体检数据为基础，形成从预防、诊断、治疗、随访等全生命周期助力实现个人健康刻画、群体健康发展预测等，促进个人健康管理。</w:t>
            </w:r>
          </w:p>
        </w:tc>
      </w:tr>
      <w:tr w14:paraId="54B8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7FDB">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金融服务</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2799">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企业贷款授信</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B2F5">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以企业数据为基础，形成企业信用画像，为银行贷款授信提供数据支撑。</w:t>
            </w:r>
          </w:p>
        </w:tc>
      </w:tr>
      <w:tr w14:paraId="70C3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1CB4">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金融服务</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0D70">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个人贷款授信</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717D">
            <w:pPr>
              <w:keepNext w:val="0"/>
              <w:keepLines w:val="0"/>
              <w:pageBreakBefore w:val="0"/>
              <w:widowControl w:val="0"/>
              <w:suppressLineNumbers w:val="0"/>
              <w:wordWrap/>
              <w:overflowPunct/>
              <w:topLinePunct w:val="0"/>
              <w:bidi w:val="0"/>
              <w:spacing w:line="56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以个人数据为基础，形成个人信用画像，为银行贷款授信提供数据支撑。</w:t>
            </w:r>
          </w:p>
        </w:tc>
      </w:tr>
    </w:tbl>
    <w:p w14:paraId="09AB4C15">
      <w:pPr>
        <w:pStyle w:val="5"/>
        <w:keepNext w:val="0"/>
        <w:keepLines w:val="0"/>
        <w:pageBreakBefore w:val="0"/>
        <w:widowControl w:val="0"/>
        <w:wordWrap/>
        <w:overflowPunct/>
        <w:topLinePunct w:val="0"/>
        <w:bidi w:val="0"/>
        <w:spacing w:after="0" w:afterLines="0" w:line="560" w:lineRule="exact"/>
        <w:ind w:left="0" w:leftChars="0"/>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5831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BF22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BF22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YzdkOGZkNmMyYzZhYTVlZjU1MDUzYjVhZGQ0YzAifQ=="/>
  </w:docVars>
  <w:rsids>
    <w:rsidRoot w:val="00000000"/>
    <w:rsid w:val="06C91C98"/>
    <w:rsid w:val="07E2DA1E"/>
    <w:rsid w:val="09867169"/>
    <w:rsid w:val="0E5767CE"/>
    <w:rsid w:val="0FDD0E9B"/>
    <w:rsid w:val="103E2154"/>
    <w:rsid w:val="15EA1BD0"/>
    <w:rsid w:val="178718E3"/>
    <w:rsid w:val="17FB334B"/>
    <w:rsid w:val="1DFD792B"/>
    <w:rsid w:val="1FBFFE0D"/>
    <w:rsid w:val="232F43BC"/>
    <w:rsid w:val="24280900"/>
    <w:rsid w:val="25A8315A"/>
    <w:rsid w:val="25B276F2"/>
    <w:rsid w:val="2797B2D2"/>
    <w:rsid w:val="2A3D0E7D"/>
    <w:rsid w:val="2B5A3060"/>
    <w:rsid w:val="2DFF0397"/>
    <w:rsid w:val="2F5A8305"/>
    <w:rsid w:val="2F994919"/>
    <w:rsid w:val="30667E13"/>
    <w:rsid w:val="31FDF82B"/>
    <w:rsid w:val="33857B1D"/>
    <w:rsid w:val="339FCE34"/>
    <w:rsid w:val="343568BD"/>
    <w:rsid w:val="34F91ECC"/>
    <w:rsid w:val="369822CF"/>
    <w:rsid w:val="36B64491"/>
    <w:rsid w:val="37FB2C51"/>
    <w:rsid w:val="37FBB595"/>
    <w:rsid w:val="3A9271A8"/>
    <w:rsid w:val="3AF91088"/>
    <w:rsid w:val="3BF21716"/>
    <w:rsid w:val="3BFDD08F"/>
    <w:rsid w:val="3CB2D23B"/>
    <w:rsid w:val="3DBD4583"/>
    <w:rsid w:val="3E5F103B"/>
    <w:rsid w:val="3F1A5F5C"/>
    <w:rsid w:val="3FDF5701"/>
    <w:rsid w:val="3FEF9CD8"/>
    <w:rsid w:val="3FFFD34A"/>
    <w:rsid w:val="444255B6"/>
    <w:rsid w:val="447A3DF2"/>
    <w:rsid w:val="4513485D"/>
    <w:rsid w:val="4DA77C0D"/>
    <w:rsid w:val="4DC64B62"/>
    <w:rsid w:val="4DF7D0CE"/>
    <w:rsid w:val="4F82280E"/>
    <w:rsid w:val="527D2B31"/>
    <w:rsid w:val="53FDF818"/>
    <w:rsid w:val="54BF13DC"/>
    <w:rsid w:val="557AF6D9"/>
    <w:rsid w:val="55C36FEB"/>
    <w:rsid w:val="564B4CF9"/>
    <w:rsid w:val="579F5C28"/>
    <w:rsid w:val="579FEB98"/>
    <w:rsid w:val="57DB8583"/>
    <w:rsid w:val="5B5C4B24"/>
    <w:rsid w:val="5BBB3D00"/>
    <w:rsid w:val="5BED4A1D"/>
    <w:rsid w:val="5F1DEB7C"/>
    <w:rsid w:val="5F2C67EF"/>
    <w:rsid w:val="5F9A917F"/>
    <w:rsid w:val="5FBFCD5B"/>
    <w:rsid w:val="5FE63060"/>
    <w:rsid w:val="5FEFCA44"/>
    <w:rsid w:val="5FFB5701"/>
    <w:rsid w:val="5FFDD465"/>
    <w:rsid w:val="601C44DA"/>
    <w:rsid w:val="633F1A48"/>
    <w:rsid w:val="63E96D7B"/>
    <w:rsid w:val="659CB27C"/>
    <w:rsid w:val="65FF3381"/>
    <w:rsid w:val="66B96F52"/>
    <w:rsid w:val="683F235B"/>
    <w:rsid w:val="6BC73875"/>
    <w:rsid w:val="6BED04DB"/>
    <w:rsid w:val="6BEF7D1F"/>
    <w:rsid w:val="6CE9DD06"/>
    <w:rsid w:val="6D0A2559"/>
    <w:rsid w:val="6EBFB8AE"/>
    <w:rsid w:val="6FBF7FB4"/>
    <w:rsid w:val="6FDF625C"/>
    <w:rsid w:val="6FEB9AD4"/>
    <w:rsid w:val="6FFE3FB4"/>
    <w:rsid w:val="6FFF2BAA"/>
    <w:rsid w:val="70473F3C"/>
    <w:rsid w:val="735FB74E"/>
    <w:rsid w:val="738B475A"/>
    <w:rsid w:val="73BB202C"/>
    <w:rsid w:val="75FFDC85"/>
    <w:rsid w:val="765123D7"/>
    <w:rsid w:val="76600F20"/>
    <w:rsid w:val="76E7140A"/>
    <w:rsid w:val="76EFB404"/>
    <w:rsid w:val="76F7435C"/>
    <w:rsid w:val="771F0F57"/>
    <w:rsid w:val="77D6F585"/>
    <w:rsid w:val="782F13D2"/>
    <w:rsid w:val="783F0019"/>
    <w:rsid w:val="78EFFE65"/>
    <w:rsid w:val="79521C1A"/>
    <w:rsid w:val="799FE7B8"/>
    <w:rsid w:val="79AD438F"/>
    <w:rsid w:val="79FAE337"/>
    <w:rsid w:val="79FC1A19"/>
    <w:rsid w:val="79FE6BB5"/>
    <w:rsid w:val="7A3BC2E3"/>
    <w:rsid w:val="7A9D98DF"/>
    <w:rsid w:val="7ADAEADA"/>
    <w:rsid w:val="7AFEA75E"/>
    <w:rsid w:val="7B777868"/>
    <w:rsid w:val="7B92AE41"/>
    <w:rsid w:val="7BE790DD"/>
    <w:rsid w:val="7BEF2DB8"/>
    <w:rsid w:val="7BFEF31D"/>
    <w:rsid w:val="7D1A37D4"/>
    <w:rsid w:val="7DBF975D"/>
    <w:rsid w:val="7DCD8D65"/>
    <w:rsid w:val="7DDB978C"/>
    <w:rsid w:val="7DED70E9"/>
    <w:rsid w:val="7DEE72E3"/>
    <w:rsid w:val="7DFB8D51"/>
    <w:rsid w:val="7DFF31AB"/>
    <w:rsid w:val="7DFF5BD2"/>
    <w:rsid w:val="7E3C1A58"/>
    <w:rsid w:val="7E3F3306"/>
    <w:rsid w:val="7EBB4A9C"/>
    <w:rsid w:val="7F431ADF"/>
    <w:rsid w:val="7F7A8EC3"/>
    <w:rsid w:val="7FCF4DDC"/>
    <w:rsid w:val="7FF42FB3"/>
    <w:rsid w:val="7FF57DE9"/>
    <w:rsid w:val="7FFB2CAC"/>
    <w:rsid w:val="7FFB6A39"/>
    <w:rsid w:val="7FFFACBC"/>
    <w:rsid w:val="81FB76CD"/>
    <w:rsid w:val="97FFB564"/>
    <w:rsid w:val="99EEAFD7"/>
    <w:rsid w:val="9DBF9CBB"/>
    <w:rsid w:val="9E3B8885"/>
    <w:rsid w:val="9FEBDF26"/>
    <w:rsid w:val="A6D3ED9D"/>
    <w:rsid w:val="A6DDF902"/>
    <w:rsid w:val="A9BF3466"/>
    <w:rsid w:val="AD6FC495"/>
    <w:rsid w:val="AF7F31F0"/>
    <w:rsid w:val="B0FB140B"/>
    <w:rsid w:val="B5DC06EC"/>
    <w:rsid w:val="B67DDF9C"/>
    <w:rsid w:val="B6BFD043"/>
    <w:rsid w:val="B6F3D344"/>
    <w:rsid w:val="B6FCE9F5"/>
    <w:rsid w:val="B77F567B"/>
    <w:rsid w:val="B7F767CC"/>
    <w:rsid w:val="B7FB977E"/>
    <w:rsid w:val="B7FBFDD3"/>
    <w:rsid w:val="BA7C468D"/>
    <w:rsid w:val="BBAF4F09"/>
    <w:rsid w:val="BBCA6709"/>
    <w:rsid w:val="BD9B52E6"/>
    <w:rsid w:val="BDFBEEA2"/>
    <w:rsid w:val="BEBF503A"/>
    <w:rsid w:val="BEFD7CF0"/>
    <w:rsid w:val="BFAF186B"/>
    <w:rsid w:val="BFF99F30"/>
    <w:rsid w:val="BFFE8FF3"/>
    <w:rsid w:val="BFFF171E"/>
    <w:rsid w:val="C9F900AD"/>
    <w:rsid w:val="D3EEF3C7"/>
    <w:rsid w:val="D3FF9F7D"/>
    <w:rsid w:val="D65E1C1A"/>
    <w:rsid w:val="DD6F4D62"/>
    <w:rsid w:val="DDCF49BC"/>
    <w:rsid w:val="DF670D4B"/>
    <w:rsid w:val="DFB97672"/>
    <w:rsid w:val="DFCFBDF6"/>
    <w:rsid w:val="E77ED776"/>
    <w:rsid w:val="EC725272"/>
    <w:rsid w:val="EDBE6148"/>
    <w:rsid w:val="EE76CFB3"/>
    <w:rsid w:val="EE7FD745"/>
    <w:rsid w:val="EE9B653D"/>
    <w:rsid w:val="EF1F617E"/>
    <w:rsid w:val="EF3275CE"/>
    <w:rsid w:val="EFBB2D0D"/>
    <w:rsid w:val="EFEFEFA0"/>
    <w:rsid w:val="EFFEFFC6"/>
    <w:rsid w:val="F3FF8233"/>
    <w:rsid w:val="F57C0F03"/>
    <w:rsid w:val="F5F5385D"/>
    <w:rsid w:val="F6CF5C83"/>
    <w:rsid w:val="F6FB3075"/>
    <w:rsid w:val="F7CE0996"/>
    <w:rsid w:val="F7FE2ED8"/>
    <w:rsid w:val="F9E96BB4"/>
    <w:rsid w:val="F9FF7CE3"/>
    <w:rsid w:val="FB3F5199"/>
    <w:rsid w:val="FBBE0311"/>
    <w:rsid w:val="FBDDAFAE"/>
    <w:rsid w:val="FBDDEDAF"/>
    <w:rsid w:val="FBF77EA9"/>
    <w:rsid w:val="FBF77EB8"/>
    <w:rsid w:val="FBF77EDC"/>
    <w:rsid w:val="FBFAC46B"/>
    <w:rsid w:val="FC5AFF0D"/>
    <w:rsid w:val="FCB774A9"/>
    <w:rsid w:val="FCDE1891"/>
    <w:rsid w:val="FD7F5BF4"/>
    <w:rsid w:val="FD8BE3CF"/>
    <w:rsid w:val="FD9EB16E"/>
    <w:rsid w:val="FDD18FDE"/>
    <w:rsid w:val="FDF609FE"/>
    <w:rsid w:val="FDFFF7DD"/>
    <w:rsid w:val="FE3F3E6E"/>
    <w:rsid w:val="FEFF71D7"/>
    <w:rsid w:val="FF99B4BE"/>
    <w:rsid w:val="FFC90F56"/>
    <w:rsid w:val="FFD68872"/>
    <w:rsid w:val="FFD6EC5F"/>
    <w:rsid w:val="FFDF4108"/>
    <w:rsid w:val="FFDF84AD"/>
    <w:rsid w:val="FFF142BD"/>
    <w:rsid w:val="FFF6D4DF"/>
    <w:rsid w:val="FFFBE1E4"/>
    <w:rsid w:val="FFFCFAD3"/>
    <w:rsid w:val="FFFF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560"/>
    </w:pPr>
    <w:rPr>
      <w:sz w:val="28"/>
      <w:lang w:eastAsia="en-US" w:bidi="en-US"/>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itle"/>
    <w:basedOn w:val="1"/>
    <w:next w:val="1"/>
    <w:qFormat/>
    <w:uiPriority w:val="0"/>
    <w:pPr>
      <w:spacing w:before="240" w:after="60"/>
      <w:jc w:val="center"/>
      <w:outlineLvl w:val="0"/>
    </w:pPr>
    <w:rPr>
      <w:rFonts w:ascii="Arial" w:hAnsi="Arial" w:cs="Arial"/>
      <w:b/>
      <w:bCs/>
      <w:sz w:val="32"/>
      <w:szCs w:val="32"/>
      <w:lang w:bidi="ar-SA"/>
    </w:rPr>
  </w:style>
  <w:style w:type="paragraph" w:styleId="5">
    <w:name w:val="Body Text Indent 2"/>
    <w:basedOn w:val="1"/>
    <w:next w:val="1"/>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5812</Words>
  <Characters>5853</Characters>
  <Lines>0</Lines>
  <Paragraphs>0</Paragraphs>
  <TotalTime>22</TotalTime>
  <ScaleCrop>false</ScaleCrop>
  <LinksUpToDate>false</LinksUpToDate>
  <CharactersWithSpaces>5857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2024-03-23T11:07:00Z</dcterms:created>
  <dc:creator>admin</dc:creator>
  <cp:lastModifiedBy>永不动机</cp:lastModifiedBy>
  <cp:lastPrinted>2025-11-12T22:19:00Z</cp:lastPrinted>
  <dcterms:modified xsi:type="dcterms:W3CDTF">2025-11-13T01:10:41Z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81FEFC0FC2C34A9FB64BDAB780B324AA_12</vt:lpwstr>
  </property>
  <property fmtid="{D5CDD505-2E9C-101B-9397-08002B2CF9AE}" pid="4" name="KSOTemplateDocerSaveRecord">
    <vt:lpwstr>eyJoZGlkIjoiY2ViNWE0ZTY1MTJhYTBkZTBkOGM5NGFkMDk1MmJkOWEiLCJ1c2VySWQiOiIxNDMzODIzMTc2In0=</vt:lpwstr>
  </property>
</Properties>
</file>